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7.xml" ContentType="application/vnd.openxmlformats-officedocument.wordprocessingml.header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3"/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pStyle w:val="863"/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pStyle w:val="863"/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pStyle w:val="863"/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pStyle w:val="863"/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pStyle w:val="863"/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pStyle w:val="863"/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pStyle w:val="863"/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pStyle w:val="863"/>
        <w:jc w:val="center"/>
        <w:keepLines/>
        <w:keepNext/>
        <w:rPr>
          <w:sz w:val="26"/>
          <w:szCs w:val="26"/>
        </w:rPr>
      </w:pPr>
      <w:r/>
      <w:bookmarkStart w:id="0" w:name="_Toc141696704"/>
      <w:r/>
      <w:bookmarkStart w:id="1" w:name="_Toc139856287"/>
      <w:r/>
      <w:bookmarkStart w:id="2" w:name="_Toc137554584"/>
      <w:r>
        <w:rPr>
          <w:rFonts w:eastAsia="Calibri"/>
          <w:b/>
          <w:sz w:val="26"/>
          <w:szCs w:val="26"/>
        </w:rPr>
        <w:t xml:space="preserve"> </w:t>
      </w:r>
      <w:bookmarkEnd w:id="0"/>
      <w:r/>
      <w:bookmarkEnd w:id="1"/>
      <w:r/>
      <w:bookmarkEnd w:id="2"/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3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3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3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3"/>
        <w:jc w:val="center"/>
        <w:keepLines/>
        <w:keepNext/>
        <w:rPr>
          <w:rFonts w:ascii="Times New Roman" w:hAnsi="Times New Roman" w:eastAsia="Times New Roman" w:cs="Times New Roman"/>
          <w:sz w:val="28"/>
        </w:rPr>
      </w:pPr>
      <w:r>
        <w:rPr>
          <w:rFonts w:eastAsia="Times New Roman" w:cs="Times New Roman"/>
          <w:b/>
          <w:sz w:val="28"/>
          <w:szCs w:val="26"/>
        </w:rPr>
        <w:t xml:space="preserve">Технические требования на выполнение работ</w:t>
      </w:r>
      <w:r>
        <w:rPr>
          <w:rFonts w:ascii="Times New Roman" w:hAnsi="Times New Roman" w:eastAsia="Times New Roman" w:cs="Times New Roman"/>
          <w:sz w:val="28"/>
        </w:rPr>
      </w:r>
      <w:r>
        <w:rPr>
          <w:rFonts w:ascii="Times New Roman" w:hAnsi="Times New Roman" w:eastAsia="Times New Roman" w:cs="Times New Roman"/>
          <w:sz w:val="28"/>
        </w:rPr>
      </w:r>
    </w:p>
    <w:p>
      <w:pPr>
        <w:pStyle w:val="863"/>
        <w:keepLines/>
        <w:keepNext/>
        <w:rPr>
          <w:rFonts w:ascii="Times New Roman" w:hAnsi="Times New Roman" w:eastAsia="Times New Roman" w:cs="Times New Roman"/>
          <w:sz w:val="28"/>
        </w:rPr>
      </w:pPr>
      <w:r>
        <w:rPr>
          <w:rFonts w:eastAsia="Times New Roman" w:cs="Times New Roman"/>
          <w:sz w:val="28"/>
        </w:rPr>
      </w:r>
      <w:r>
        <w:rPr>
          <w:rFonts w:ascii="Times New Roman" w:hAnsi="Times New Roman" w:eastAsia="Times New Roman" w:cs="Times New Roman"/>
          <w:sz w:val="28"/>
        </w:rPr>
      </w:r>
      <w:r>
        <w:rPr>
          <w:rFonts w:ascii="Times New Roman" w:hAnsi="Times New Roman" w:eastAsia="Times New Roman" w:cs="Times New Roman"/>
          <w:sz w:val="28"/>
        </w:rPr>
      </w:r>
    </w:p>
    <w:p>
      <w:pPr>
        <w:pStyle w:val="863"/>
        <w:jc w:val="center"/>
        <w:spacing w:before="0" w:after="0" w:line="240" w:lineRule="auto"/>
        <w:rPr>
          <w:rFonts w:ascii="Times New Roman" w:hAnsi="Times New Roman" w:cs="Times New Roman"/>
          <w:b/>
          <w:bCs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highlight w:val="white"/>
          <w:u w:val="none"/>
        </w:rPr>
        <w:t xml:space="preserve">"ОКПД2 42.21.22 Выполнение работ по</w:t>
      </w:r>
      <w:r>
        <w:rPr>
          <w:rFonts w:eastAsia="Times New Roman" w:cs="Times New Roman"/>
          <w:b/>
          <w:bCs/>
          <w:sz w:val="28"/>
          <w:szCs w:val="28"/>
        </w:rPr>
        <w:t xml:space="preserve">  </w:t>
      </w:r>
      <w:r>
        <w:rPr>
          <w:rFonts w:eastAsia="Times New Roman" w:cs="Times New Roman"/>
          <w:b/>
          <w:bCs/>
          <w:color w:val="000000"/>
          <w:sz w:val="28"/>
          <w:szCs w:val="28"/>
          <w:highlight w:val="white"/>
          <w:u w:val="none"/>
        </w:rPr>
        <w:t xml:space="preserve">текущему ремонту участка теплотрассы г. Николаевск-на-Амуре для нужд структурного подразделения Николаевская ТЭЦ, АО ДГК"</w:t>
      </w:r>
      <w:r>
        <w:rPr>
          <w:rFonts w:eastAsia="Times New Roman" w:cs="Times New Roman"/>
          <w:b/>
          <w:bCs/>
          <w:color w:val="000000"/>
          <w:sz w:val="28"/>
          <w:szCs w:val="28"/>
          <w:highlight w:val="white"/>
        </w:rPr>
        <w:t xml:space="preserve"> 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63"/>
        <w:jc w:val="center"/>
        <w:spacing w:before="0"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6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Open Sans" w:hAnsi="Open Sans" w:eastAsia="Open Sans" w:cs="Open Sans"/>
          <w:b/>
          <w:bCs/>
          <w:color w:val="000000"/>
          <w:sz w:val="22"/>
          <w:highlight w:val="white"/>
          <w:u w:val="none"/>
        </w:rPr>
        <w:t xml:space="preserve">                                       </w:t>
      </w:r>
      <w:r>
        <w:rPr>
          <w:rFonts w:eastAsia="Times New Roman" w:cs="Times New Roman"/>
          <w:b/>
          <w:bCs/>
          <w:color w:val="000000"/>
          <w:sz w:val="28"/>
          <w:szCs w:val="28"/>
          <w:highlight w:val="white"/>
          <w:u w:val="none"/>
        </w:rPr>
        <w:t xml:space="preserve"> </w:t>
      </w:r>
      <w:r>
        <w:rPr>
          <w:rFonts w:eastAsia="Times New Roman" w:cs="Times New Roman"/>
          <w:b/>
          <w:bCs/>
          <w:color w:val="000000"/>
          <w:sz w:val="28"/>
          <w:szCs w:val="28"/>
          <w:highlight w:val="white"/>
          <w:u w:val="none"/>
        </w:rPr>
        <w:t xml:space="preserve">ЛОТ № </w:t>
      </w:r>
      <w:r>
        <w:rPr>
          <w:rFonts w:eastAsia="Times New Roman" w:cs="Times New Roman"/>
          <w:b/>
          <w:bCs/>
          <w:color w:val="000000"/>
          <w:sz w:val="28"/>
          <w:szCs w:val="28"/>
          <w:u w:val="none"/>
        </w:rPr>
        <w:t xml:space="preserve">11028006-РЕМ ПРОД-2026-ДГК-НТЭЦ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63"/>
        <w:jc w:val="center"/>
        <w:spacing w:before="0" w:after="0" w:line="240" w:lineRule="auto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highlight w:val="white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highlight w:val="white"/>
        </w:rPr>
      </w:r>
    </w:p>
    <w:p>
      <w:pPr>
        <w:pStyle w:val="863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63"/>
      </w:pPr>
      <w:r/>
      <w:r/>
    </w:p>
    <w:p>
      <w:pPr>
        <w:pStyle w:val="863"/>
      </w:pPr>
      <w:r/>
      <w:r/>
    </w:p>
    <w:p>
      <w:pPr>
        <w:pStyle w:val="863"/>
      </w:pPr>
      <w:r/>
      <w:r/>
    </w:p>
    <w:p>
      <w:pPr>
        <w:pStyle w:val="863"/>
      </w:pPr>
      <w:r/>
      <w:r/>
    </w:p>
    <w:p>
      <w:pPr>
        <w:pStyle w:val="863"/>
      </w:pPr>
      <w:r/>
      <w:r/>
    </w:p>
    <w:p>
      <w:pPr>
        <w:pStyle w:val="863"/>
      </w:pPr>
      <w:r/>
      <w:r/>
    </w:p>
    <w:p>
      <w:pPr>
        <w:pStyle w:val="863"/>
      </w:pPr>
      <w:r/>
      <w:r/>
    </w:p>
    <w:p>
      <w:pPr>
        <w:pStyle w:val="863"/>
      </w:pPr>
      <w:r/>
      <w:r/>
    </w:p>
    <w:p>
      <w:pPr>
        <w:pStyle w:val="863"/>
      </w:pPr>
      <w:r/>
      <w:r/>
    </w:p>
    <w:p>
      <w:pPr>
        <w:pStyle w:val="863"/>
      </w:pPr>
      <w:r/>
      <w:r/>
    </w:p>
    <w:p>
      <w:pPr>
        <w:pStyle w:val="863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eastAsia="Times New Roman" w:cs="Times New Roman"/>
          <w:b/>
          <w:sz w:val="24"/>
        </w:rPr>
      </w:pPr>
      <w:r>
        <w:rPr>
          <w:rFonts w:eastAsia="Times New Roman" w:cs="Times New Roman"/>
          <w:b/>
          <w:sz w:val="24"/>
        </w:rPr>
      </w:r>
      <w:r>
        <w:rPr>
          <w:rFonts w:ascii="Times New Roman" w:hAnsi="Times New Roman" w:eastAsia="Times New Roman" w:cs="Times New Roman"/>
          <w:b/>
          <w:sz w:val="24"/>
        </w:rPr>
      </w:r>
      <w:r>
        <w:rPr>
          <w:rFonts w:ascii="Times New Roman" w:hAnsi="Times New Roman" w:eastAsia="Times New Roman" w:cs="Times New Roman"/>
          <w:b/>
          <w:sz w:val="24"/>
        </w:rPr>
      </w:r>
    </w:p>
    <w:p>
      <w:pPr>
        <w:pStyle w:val="863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eastAsia="Times New Roman" w:cs="Times New Roman"/>
          <w:b/>
          <w:sz w:val="24"/>
        </w:rPr>
      </w:pPr>
      <w:r>
        <w:rPr>
          <w:rFonts w:eastAsia="Times New Roman" w:cs="Times New Roman"/>
          <w:b/>
          <w:sz w:val="24"/>
        </w:rPr>
      </w:r>
      <w:r>
        <w:rPr>
          <w:rFonts w:ascii="Times New Roman" w:hAnsi="Times New Roman" w:eastAsia="Times New Roman" w:cs="Times New Roman"/>
          <w:b/>
          <w:sz w:val="24"/>
        </w:rPr>
      </w:r>
      <w:r>
        <w:rPr>
          <w:rFonts w:ascii="Times New Roman" w:hAnsi="Times New Roman" w:eastAsia="Times New Roman" w:cs="Times New Roman"/>
          <w:b/>
          <w:sz w:val="24"/>
        </w:rPr>
      </w:r>
    </w:p>
    <w:p>
      <w:pPr>
        <w:pStyle w:val="863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863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863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863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863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863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863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863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863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863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863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863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863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863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863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863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863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863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863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eastAsia="Times New Roman" w:cs="Times New Roman"/>
          <w:b/>
          <w:sz w:val="24"/>
        </w:rPr>
      </w:pPr>
      <w:r>
        <w:rPr>
          <w:rFonts w:eastAsia="Times New Roman" w:cs="Times New Roman"/>
          <w:b/>
          <w:sz w:val="24"/>
        </w:rPr>
      </w:r>
      <w:r>
        <w:rPr>
          <w:rFonts w:ascii="Times New Roman" w:hAnsi="Times New Roman" w:eastAsia="Times New Roman" w:cs="Times New Roman"/>
          <w:b/>
          <w:sz w:val="24"/>
        </w:rPr>
      </w:r>
      <w:r>
        <w:rPr>
          <w:rFonts w:ascii="Times New Roman" w:hAnsi="Times New Roman" w:eastAsia="Times New Roman" w:cs="Times New Roman"/>
          <w:b/>
          <w:sz w:val="24"/>
        </w:rPr>
      </w:r>
    </w:p>
    <w:p>
      <w:pPr>
        <w:pStyle w:val="86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СОДЕРЖАНИЕ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1180"/>
        <w:tblW w:w="9748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56"/>
        <w:gridCol w:w="8329"/>
        <w:gridCol w:w="663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863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ru-RU" w:eastAsia="ru-RU" w:bidi="ar-SA"/>
              </w:rPr>
              <w:t xml:space="preserve">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29" w:type="dxa"/>
            <w:textDirection w:val="lrTb"/>
            <w:noWrap w:val="false"/>
          </w:tcPr>
          <w:p>
            <w:pPr>
              <w:pStyle w:val="863"/>
              <w:jc w:val="left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ru-RU" w:eastAsia="ru-RU" w:bidi="ar-SA"/>
              </w:rPr>
              <w:t xml:space="preserve">Общие сведения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" w:type="dxa"/>
            <w:textDirection w:val="lrTb"/>
            <w:noWrap w:val="false"/>
          </w:tcPr>
          <w:p>
            <w:pPr>
              <w:pStyle w:val="863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863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29" w:type="dxa"/>
            <w:textDirection w:val="lrTb"/>
            <w:noWrap w:val="false"/>
          </w:tcPr>
          <w:p>
            <w:pPr>
              <w:pStyle w:val="863"/>
              <w:jc w:val="left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Наименование закупаемой продукции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" w:type="dxa"/>
            <w:textDirection w:val="lrTb"/>
            <w:noWrap w:val="false"/>
          </w:tcPr>
          <w:p>
            <w:pPr>
              <w:pStyle w:val="863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863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29" w:type="dxa"/>
            <w:textDirection w:val="lrTb"/>
            <w:noWrap w:val="false"/>
          </w:tcPr>
          <w:p>
            <w:pPr>
              <w:pStyle w:val="863"/>
              <w:jc w:val="left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Цель выполнения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" w:type="dxa"/>
            <w:textDirection w:val="lrTb"/>
            <w:noWrap w:val="false"/>
          </w:tcPr>
          <w:p>
            <w:pPr>
              <w:pStyle w:val="863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5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85" w:type="dxa"/>
            <w:textDirection w:val="lrTb"/>
            <w:noWrap w:val="false"/>
          </w:tcPr>
          <w:p>
            <w:pPr>
              <w:pStyle w:val="863"/>
              <w:jc w:val="left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ru-RU" w:eastAsia="ru-RU" w:bidi="ar-SA"/>
              </w:rPr>
              <w:t xml:space="preserve">            </w:t>
            </w:r>
            <w:r>
              <w:rPr>
                <w:rFonts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Таблица 1. Перечень объектов заказчика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" w:type="dxa"/>
            <w:textDirection w:val="lrTb"/>
            <w:noWrap w:val="false"/>
          </w:tcPr>
          <w:p>
            <w:pPr>
              <w:pStyle w:val="863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863"/>
              <w:contextualSpacing/>
              <w:jc w:val="left"/>
              <w:spacing w:before="0" w:after="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1.3.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29" w:type="dxa"/>
            <w:textDirection w:val="lrTb"/>
            <w:noWrap w:val="false"/>
          </w:tcPr>
          <w:p>
            <w:pPr>
              <w:pStyle w:val="863"/>
              <w:jc w:val="left"/>
              <w:spacing w:before="0" w:after="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63"/>
              <w:jc w:val="left"/>
              <w:spacing w:before="0" w:after="0"/>
              <w:widowControl w:val="off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cs="Times New Roman"/>
                <w:sz w:val="10"/>
                <w:szCs w:val="10"/>
              </w:rPr>
            </w:r>
            <w:r>
              <w:rPr>
                <w:rFonts w:ascii="Times New Roman" w:hAnsi="Times New Roman" w:cs="Times New Roman"/>
                <w:sz w:val="10"/>
                <w:szCs w:val="10"/>
              </w:rPr>
            </w:r>
            <w:r>
              <w:rPr>
                <w:rFonts w:ascii="Times New Roman" w:hAnsi="Times New Roman" w:cs="Times New Roman"/>
                <w:sz w:val="10"/>
                <w:szCs w:val="1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" w:type="dxa"/>
            <w:textDirection w:val="lrTb"/>
            <w:noWrap w:val="false"/>
          </w:tcPr>
          <w:p>
            <w:pPr>
              <w:pStyle w:val="863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863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ru-RU" w:eastAsia="ru-RU" w:bidi="ar-SA"/>
              </w:rPr>
              <w:t xml:space="preserve">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29" w:type="dxa"/>
            <w:textDirection w:val="lrTb"/>
            <w:noWrap w:val="false"/>
          </w:tcPr>
          <w:p>
            <w:pPr>
              <w:pStyle w:val="863"/>
              <w:jc w:val="left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ru-RU" w:eastAsia="ru-RU" w:bidi="ar-SA"/>
              </w:rPr>
              <w:t xml:space="preserve">Требования к продукции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" w:type="dxa"/>
            <w:textDirection w:val="lrTb"/>
            <w:noWrap w:val="false"/>
          </w:tcPr>
          <w:p>
            <w:pPr>
              <w:pStyle w:val="863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863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2.1.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29" w:type="dxa"/>
            <w:textDirection w:val="lrTb"/>
            <w:noWrap w:val="false"/>
          </w:tcPr>
          <w:p>
            <w:pPr>
              <w:pStyle w:val="863"/>
              <w:jc w:val="left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Требования к объемам и срокам выполнения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" w:type="dxa"/>
            <w:textDirection w:val="lrTb"/>
            <w:noWrap w:val="false"/>
          </w:tcPr>
          <w:p>
            <w:pPr>
              <w:pStyle w:val="863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863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2.1.1.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29" w:type="dxa"/>
            <w:textDirection w:val="lrTb"/>
            <w:noWrap w:val="false"/>
          </w:tcPr>
          <w:p>
            <w:pPr>
              <w:pStyle w:val="863"/>
              <w:jc w:val="left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Требования к видам и объемам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" w:type="dxa"/>
            <w:textDirection w:val="lrTb"/>
            <w:noWrap w:val="false"/>
          </w:tcPr>
          <w:p>
            <w:pPr>
              <w:pStyle w:val="863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85" w:type="dxa"/>
            <w:textDirection w:val="lrTb"/>
            <w:noWrap w:val="false"/>
          </w:tcPr>
          <w:p>
            <w:pPr>
              <w:pStyle w:val="863"/>
              <w:jc w:val="left"/>
              <w:spacing w:before="0" w:after="0" w:line="360" w:lineRule="auto"/>
              <w:widowControl w:val="o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ru-RU" w:eastAsia="ru-RU" w:bidi="ar-SA"/>
              </w:rPr>
              <w:t xml:space="preserve">         </w:t>
            </w: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   </w:t>
            </w:r>
            <w:r>
              <w:rPr>
                <w:rFonts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Таблица 2. Перечень и объем выполняемых работ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" w:type="dxa"/>
            <w:textDirection w:val="lrTb"/>
            <w:noWrap w:val="false"/>
          </w:tcPr>
          <w:p>
            <w:pPr>
              <w:pStyle w:val="863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863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2.1.2.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29" w:type="dxa"/>
            <w:textDirection w:val="lrTb"/>
            <w:noWrap w:val="false"/>
          </w:tcPr>
          <w:p>
            <w:pPr>
              <w:pStyle w:val="863"/>
              <w:jc w:val="left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Требования к срокам выполнения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" w:type="dxa"/>
            <w:textDirection w:val="lrTb"/>
            <w:noWrap w:val="false"/>
          </w:tcPr>
          <w:p>
            <w:pPr>
              <w:pStyle w:val="863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14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85" w:type="dxa"/>
            <w:textDirection w:val="lrTb"/>
            <w:noWrap w:val="false"/>
          </w:tcPr>
          <w:p>
            <w:pPr>
              <w:pStyle w:val="863"/>
              <w:jc w:val="left"/>
              <w:spacing w:before="0" w:after="0" w:line="360" w:lineRule="auto"/>
              <w:widowControl w:val="o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         </w:t>
            </w: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   </w:t>
            </w:r>
            <w:r>
              <w:rPr>
                <w:rFonts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Таблица 3. Требования к срокам выполнения работ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" w:type="dxa"/>
            <w:textDirection w:val="lrTb"/>
            <w:noWrap w:val="false"/>
          </w:tcPr>
          <w:p>
            <w:pPr>
              <w:pStyle w:val="863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863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2.2.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29" w:type="dxa"/>
            <w:textDirection w:val="lrTb"/>
            <w:noWrap w:val="false"/>
          </w:tcPr>
          <w:p>
            <w:pPr>
              <w:pStyle w:val="863"/>
              <w:jc w:val="left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Требования к качеству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" w:type="dxa"/>
            <w:textDirection w:val="lrTb"/>
            <w:noWrap w:val="false"/>
          </w:tcPr>
          <w:p>
            <w:pPr>
              <w:pStyle w:val="863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85" w:type="dxa"/>
            <w:textDirection w:val="lrTb"/>
            <w:noWrap w:val="false"/>
          </w:tcPr>
          <w:p>
            <w:pPr>
              <w:pStyle w:val="863"/>
              <w:jc w:val="left"/>
              <w:spacing w:before="0" w:after="0" w:line="360" w:lineRule="auto"/>
              <w:widowControl w:val="o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ru-RU" w:eastAsia="ru-RU" w:bidi="ar-SA"/>
              </w:rPr>
              <w:t xml:space="preserve">        </w:t>
            </w: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    </w:t>
            </w:r>
            <w:r>
              <w:rPr>
                <w:rFonts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Таблица 4. Требования к качеству работ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" w:type="dxa"/>
            <w:textDirection w:val="lrTb"/>
            <w:noWrap w:val="false"/>
          </w:tcPr>
          <w:p>
            <w:pPr>
              <w:pStyle w:val="863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863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ru-RU" w:eastAsia="ru-RU" w:bidi="ar-SA"/>
              </w:rPr>
              <w:t xml:space="preserve">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29" w:type="dxa"/>
            <w:textDirection w:val="lrTb"/>
            <w:noWrap w:val="false"/>
          </w:tcPr>
          <w:p>
            <w:pPr>
              <w:pStyle w:val="863"/>
              <w:jc w:val="left"/>
              <w:spacing w:before="0" w:after="0" w:line="360" w:lineRule="auto"/>
              <w:widowControl w:val="o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Требованиям к оформлению и составлению сметной документации на выполнение работ по программе ремонтов, реконструкции и техническому перевооружению</w:t>
            </w:r>
            <w:r>
              <w:rPr>
                <w:b/>
                <w:bCs/>
                <w:sz w:val="24"/>
                <w:szCs w:val="24"/>
                <w:highlight w:val="white"/>
                <w:lang w:val="ru-RU" w:eastAsia="ru-RU" w:bidi="ar-SA"/>
              </w:rPr>
              <w:t xml:space="preserve"> на этапе закупки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" w:type="dxa"/>
            <w:textDirection w:val="lrTb"/>
            <w:noWrap w:val="false"/>
          </w:tcPr>
          <w:p>
            <w:pPr>
              <w:pStyle w:val="863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18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863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ru-RU" w:eastAsia="ru-RU" w:bidi="ar-SA"/>
              </w:rPr>
              <w:t xml:space="preserve">4.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29" w:type="dxa"/>
            <w:textDirection w:val="lrTb"/>
            <w:noWrap w:val="false"/>
          </w:tcPr>
          <w:p>
            <w:pPr>
              <w:pStyle w:val="863"/>
              <w:jc w:val="left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Требованиям к оформлению и составлению сметной документации на выполнение работ по программе ремонтов, реконструкции и техническому перевооружению на этапе заключения (исполнения) договора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" w:type="dxa"/>
            <w:textDirection w:val="lrTb"/>
            <w:noWrap w:val="false"/>
          </w:tcPr>
          <w:p>
            <w:pPr>
              <w:pStyle w:val="863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18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863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ru-RU" w:eastAsia="ru-RU" w:bidi="ar-SA"/>
              </w:rPr>
              <w:t xml:space="preserve">5.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29" w:type="dxa"/>
            <w:textDirection w:val="lrTb"/>
            <w:noWrap w:val="false"/>
          </w:tcPr>
          <w:p>
            <w:pPr>
              <w:pStyle w:val="863"/>
              <w:jc w:val="left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ru-RU" w:eastAsia="ru-RU" w:bidi="ar-SA"/>
              </w:rPr>
              <w:t xml:space="preserve">Список приложений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" w:type="dxa"/>
            <w:textDirection w:val="lrTb"/>
            <w:noWrap w:val="false"/>
          </w:tcPr>
          <w:p>
            <w:pPr>
              <w:pStyle w:val="863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18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64"/>
        <w:numPr>
          <w:ilvl w:val="0"/>
          <w:numId w:val="0"/>
        </w:numPr>
        <w:ind w:left="5038" w:firstLine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4"/>
        <w:numPr>
          <w:ilvl w:val="0"/>
          <w:numId w:val="0"/>
        </w:numPr>
        <w:ind w:left="5038" w:firstLine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4"/>
        <w:numPr>
          <w:ilvl w:val="0"/>
          <w:numId w:val="0"/>
        </w:numPr>
        <w:ind w:left="5038" w:firstLine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4"/>
        <w:numPr>
          <w:ilvl w:val="0"/>
          <w:numId w:val="0"/>
        </w:numPr>
        <w:ind w:left="5038" w:firstLine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3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63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63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63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63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63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63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63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980"/>
        <w:numPr>
          <w:ilvl w:val="0"/>
          <w:numId w:val="16"/>
        </w:numPr>
        <w:ind w:left="0" w:firstLine="567"/>
        <w:keepNext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  <w:t xml:space="preserve">ОБЩИЕ СВЕДЕНИЯ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80"/>
        <w:numPr>
          <w:ilvl w:val="1"/>
          <w:numId w:val="15"/>
        </w:numPr>
        <w:contextualSpacing/>
        <w:ind w:left="0" w:firstLine="567"/>
        <w:keepNext/>
        <w:spacing w:before="0" w:after="142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Наименование закупаемой продукции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3"/>
        <w:jc w:val="both"/>
        <w:spacing w:before="0" w:after="0" w:line="240" w:lineRule="auto"/>
        <w:rPr>
          <w:rFonts w:ascii="Times New Roman" w:hAnsi="Times New Roman" w:cs="Times New Roman"/>
          <w:bCs/>
        </w:rPr>
      </w:pPr>
      <w:r>
        <w:rPr>
          <w:rFonts w:eastAsia="Times New Roman" w:cs="Times New Roman"/>
          <w:color w:val="000000"/>
          <w:sz w:val="22"/>
          <w:highlight w:val="white"/>
          <w:u w:val="none"/>
        </w:rPr>
        <w:t xml:space="preserve">"ОКПД2 42.21.22 Выполнение работ по текущему ремонту участка теплотрассы г. Николаевск-на-Амуре для нужд структурного подразделения Николаевская ТЭЦ, АО ДГК"</w:t>
      </w:r>
      <w:r>
        <w:rPr>
          <w:rFonts w:eastAsia="Times New Roman" w:cs="Times New Roman"/>
          <w:color w:val="000000"/>
          <w:sz w:val="22"/>
          <w:highlight w:val="white"/>
        </w:rPr>
        <w:t xml:space="preserve"> </w:t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pStyle w:val="863"/>
        <w:contextualSpacing/>
        <w:ind w:firstLine="850"/>
        <w:keepLines/>
        <w:keepNext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80"/>
        <w:numPr>
          <w:ilvl w:val="1"/>
          <w:numId w:val="15"/>
        </w:numPr>
        <w:contextualSpacing/>
        <w:ind w:left="0" w:firstLine="850"/>
        <w:keepLines/>
        <w:keepNext/>
        <w:spacing w:before="0" w:after="142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Цель выполнения работ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3"/>
        <w:ind w:left="0" w:right="0" w:firstLine="567"/>
        <w:jc w:val="both"/>
        <w:spacing w:before="0" w:after="0" w:line="240" w:lineRule="auto"/>
        <w:rPr>
          <w:rFonts w:ascii="Times New Roman" w:hAnsi="Times New Roman" w:cs="Times New Roman"/>
          <w:b w:val="0"/>
          <w:bCs w:val="0"/>
          <w:strike w:val="0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Целью выполнения работ является </w:t>
      </w:r>
      <w:r>
        <w:rPr>
          <w:rFonts w:eastAsia="Times New Roman" w:cs="Times New Roman"/>
          <w:color w:val="000000" w:themeColor="text1"/>
          <w:sz w:val="24"/>
          <w:szCs w:val="24"/>
        </w:rPr>
        <w:t xml:space="preserve">восстановление технического состояния </w:t>
      </w:r>
      <w:r>
        <w:rPr>
          <w:rFonts w:eastAsia="Times New Roman" w:cs="Times New Roman"/>
          <w:color w:val="000000" w:themeColor="text1"/>
          <w:sz w:val="24"/>
          <w:szCs w:val="24"/>
          <w:highlight w:val="white"/>
        </w:rPr>
        <w:t xml:space="preserve">участков  тепловой сети: </w:t>
      </w:r>
      <w:r>
        <w:rPr>
          <w:rFonts w:eastAsia="Times New Roman" w:cs="Times New Roman"/>
          <w:b/>
          <w:bCs/>
          <w:color w:val="000000" w:themeColor="text1"/>
          <w:sz w:val="24"/>
          <w:szCs w:val="24"/>
          <w:highlight w:val="white"/>
        </w:rPr>
        <w:t xml:space="preserve">Объект№1-</w:t>
      </w:r>
      <w:r>
        <w:rPr>
          <w:rFonts w:eastAsia="Times New Roman" w:cs="Times New Roman"/>
          <w:color w:val="000000" w:themeColor="text1"/>
          <w:sz w:val="24"/>
          <w:szCs w:val="24"/>
          <w:highlight w:val="white"/>
        </w:rPr>
        <w:t xml:space="preserve"> на участке МТК-27-Луначарского 138-Орлова 9б; </w:t>
      </w:r>
      <w:r>
        <w:rPr>
          <w:rFonts w:eastAsia="Times New Roman" w:cs="Times New Roman"/>
          <w:b/>
          <w:bCs/>
          <w:color w:val="000000" w:themeColor="text1"/>
          <w:sz w:val="24"/>
          <w:szCs w:val="24"/>
          <w:highlight w:val="white"/>
        </w:rPr>
        <w:t xml:space="preserve">Объект№2</w:t>
      </w:r>
      <w:r>
        <w:rPr>
          <w:rFonts w:eastAsia="Times New Roman" w:cs="Times New Roman"/>
          <w:color w:val="000000" w:themeColor="text1"/>
          <w:sz w:val="24"/>
          <w:szCs w:val="24"/>
          <w:highlight w:val="white"/>
        </w:rPr>
        <w:t xml:space="preserve">- от МТК-2а  до  дом. по ул.Ленина 3 (МТС-банк) в г. Николаевске-на-Амуре,  с целью обеспечения исправного состояния, надежной эксплуатации, предупреждения </w:t>
      </w:r>
      <w:r>
        <w:rPr>
          <w:rFonts w:eastAsia="Times New Roman" w:cs="Times New Roman"/>
          <w:color w:val="000000" w:themeColor="text1"/>
          <w:sz w:val="24"/>
          <w:szCs w:val="24"/>
        </w:rPr>
        <w:t xml:space="preserve">преждевременного износа и </w:t>
      </w:r>
      <w:r>
        <w:rPr>
          <w:rFonts w:eastAsia="Times New Roman" w:cs="Times New Roman"/>
          <w:sz w:val="24"/>
          <w:szCs w:val="24"/>
        </w:rPr>
        <w:t xml:space="preserve">увеличения срока службы</w:t>
      </w:r>
      <w:r>
        <w:rPr>
          <w:rFonts w:eastAsia="Times New Roman" w:cs="Times New Roman"/>
          <w:strike w:val="0"/>
          <w:sz w:val="24"/>
          <w:szCs w:val="24"/>
        </w:rPr>
        <w:t xml:space="preserve">.</w:t>
      </w:r>
      <w:r>
        <w:rPr>
          <w:rFonts w:ascii="Times New Roman" w:hAnsi="Times New Roman" w:cs="Times New Roman"/>
          <w:b w:val="0"/>
          <w:bCs w:val="0"/>
          <w:strike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trike w:val="0"/>
          <w:sz w:val="24"/>
          <w:szCs w:val="24"/>
        </w:rPr>
      </w:r>
    </w:p>
    <w:p>
      <w:pPr>
        <w:pStyle w:val="863"/>
        <w:ind w:left="0" w:right="0" w:firstLine="567"/>
        <w:jc w:val="both"/>
        <w:spacing w:before="0" w:after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6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3"/>
        <w:jc w:val="left"/>
        <w:rPr>
          <w:rFonts w:ascii="Times New Roman" w:hAnsi="Times New Roman" w:cs="Times New Roman"/>
          <w:sz w:val="24"/>
          <w:szCs w:val="24"/>
          <w:highlight w:val="none"/>
        </w:rPr>
      </w:pPr>
      <w:r/>
      <w:bookmarkStart w:id="3" w:name="undefined"/>
      <w:r>
        <w:rPr>
          <w:rFonts w:eastAsia="Times New Roman" w:cs="Times New Roman"/>
          <w:b/>
          <w:bCs/>
          <w:sz w:val="24"/>
          <w:szCs w:val="24"/>
        </w:rPr>
        <w:t xml:space="preserve">Таблица 1. </w:t>
      </w:r>
      <w:r>
        <w:rPr>
          <w:rFonts w:eastAsia="Times New Roman" w:cs="Times New Roman"/>
          <w:sz w:val="24"/>
          <w:szCs w:val="24"/>
        </w:rPr>
        <w:t xml:space="preserve">Перечень объектов заказчика</w:t>
      </w:r>
      <w:bookmarkEnd w:id="3"/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tbl>
      <w:tblPr>
        <w:tblW w:w="10129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567"/>
        <w:gridCol w:w="4678"/>
        <w:gridCol w:w="4884"/>
      </w:tblGrid>
      <w:tr>
        <w:tblPrEx/>
        <w:trPr>
          <w:trHeight w:val="81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Style w:val="863"/>
              <w:contextualSpacing/>
              <w:jc w:val="center"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№ 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63"/>
              <w:contextualSpacing/>
              <w:jc w:val="center"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8" w:type="dxa"/>
            <w:vAlign w:val="center"/>
            <w:textDirection w:val="lrTb"/>
            <w:noWrap w:val="false"/>
          </w:tcPr>
          <w:p>
            <w:pPr>
              <w:pStyle w:val="863"/>
              <w:contextualSpacing/>
              <w:jc w:val="center"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Наименование объекта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84" w:type="dxa"/>
            <w:vAlign w:val="center"/>
            <w:textDirection w:val="lrTb"/>
            <w:noWrap w:val="false"/>
          </w:tcPr>
          <w:p>
            <w:pPr>
              <w:pStyle w:val="863"/>
              <w:contextualSpacing/>
              <w:jc w:val="center"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Расположение объекта </w:t>
              <w:br/>
            </w:r>
            <w:r>
              <w:rPr>
                <w:rFonts w:eastAsia="Times New Roman" w:cs="Times New Roman"/>
                <w:iCs/>
                <w:sz w:val="24"/>
                <w:szCs w:val="24"/>
              </w:rPr>
              <w:t xml:space="preserve">(место производства работ)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63"/>
              <w:contextualSpacing/>
              <w:jc w:val="center"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8" w:type="dxa"/>
            <w:textDirection w:val="lrTb"/>
            <w:noWrap w:val="false"/>
          </w:tcPr>
          <w:p>
            <w:pPr>
              <w:pStyle w:val="863"/>
              <w:contextualSpacing/>
              <w:jc w:val="center"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84" w:type="dxa"/>
            <w:textDirection w:val="lrTb"/>
            <w:noWrap w:val="false"/>
          </w:tcPr>
          <w:p>
            <w:pPr>
              <w:pStyle w:val="863"/>
              <w:contextualSpacing/>
              <w:jc w:val="center"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16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Style w:val="863"/>
              <w:contextualSpacing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8" w:type="dxa"/>
            <w:vAlign w:val="center"/>
            <w:textDirection w:val="lrTb"/>
            <w:noWrap w:val="false"/>
          </w:tcPr>
          <w:p>
            <w:pPr>
              <w:pStyle w:val="863"/>
              <w:contextualSpacing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Теплотрасса Николаевские тепловые сети:  Зам</w:t>
            </w:r>
            <w:r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  <w:t xml:space="preserve">ена участка  теплотрассы </w:t>
            </w:r>
            <w:r>
              <w:rPr>
                <w:rFonts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МТК-27-Луначарского 138-Орлова 9б </w:t>
            </w:r>
            <w:r>
              <w:rPr>
                <w:rFonts w:cs="Times New Roman"/>
                <w:sz w:val="24"/>
                <w:szCs w:val="24"/>
                <w:highlight w:val="white"/>
              </w:rPr>
              <w:t xml:space="preserve">(Приложение №1. Ведомость объёмов работ</w:t>
            </w:r>
            <w:r>
              <w:rPr>
                <w:rFonts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84" w:type="dxa"/>
            <w:vAlign w:val="center"/>
            <w:textDirection w:val="lrTb"/>
            <w:noWrap w:val="false"/>
          </w:tcPr>
          <w:p>
            <w:pPr>
              <w:pStyle w:val="863"/>
              <w:contextualSpacing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СП «Николаевская ТЭЦ», 682469, Хабаровский край,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63"/>
              <w:contextualSpacing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г. Николаевск на Амуре, от </w:t>
            </w:r>
            <w:r>
              <w:rPr>
                <w:rFonts w:eastAsia="Times New Roman" w:cs="Times New Roman"/>
                <w:sz w:val="24"/>
                <w:szCs w:val="24"/>
                <w:highlight w:val="white"/>
              </w:rPr>
              <w:t xml:space="preserve">ул. Орлова МТК-27 до ТК-2 и ТК-3 ул. Орлова, 9, ул. Луначарского, 138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6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Style w:val="863"/>
              <w:contextualSpacing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8" w:type="dxa"/>
            <w:vAlign w:val="center"/>
            <w:textDirection w:val="lrTb"/>
            <w:noWrap w:val="false"/>
          </w:tcPr>
          <w:p>
            <w:pPr>
              <w:pStyle w:val="863"/>
              <w:contextualSpacing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Теплотрасса Николаевские тепловые сети:  Зам</w:t>
            </w:r>
            <w:r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  <w:t xml:space="preserve">ена участка  теплотрассы 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от МТК-2а  до  дом. по ул.Ленина 3 (МТС-банк) </w:t>
            </w:r>
            <w:r>
              <w:rPr>
                <w:rFonts w:cs="Times New Roman"/>
                <w:sz w:val="24"/>
                <w:szCs w:val="24"/>
                <w:highlight w:val="white"/>
              </w:rPr>
              <w:t xml:space="preserve">(Приложение №1. Ведомость объёмов работ</w:t>
            </w:r>
            <w:r>
              <w:rPr>
                <w:rFonts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84" w:type="dxa"/>
            <w:vAlign w:val="center"/>
            <w:textDirection w:val="lrTb"/>
            <w:noWrap w:val="false"/>
          </w:tcPr>
          <w:p>
            <w:pPr>
              <w:pStyle w:val="863"/>
              <w:contextualSpacing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СП «Николаевская ТЭЦ», 682469, Хабаровский край,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63"/>
              <w:contextualSpacing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г. Николаевск на Амуре, от МТК-2а –ТК-10-ТК-9 (м-н «Хозяин»)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pStyle w:val="864"/>
        <w:numPr>
          <w:ilvl w:val="0"/>
          <w:numId w:val="0"/>
        </w:numPr>
        <w:ind w:left="0" w:right="0" w:firstLine="709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64"/>
        <w:numPr>
          <w:ilvl w:val="0"/>
          <w:numId w:val="0"/>
        </w:numPr>
        <w:ind w:left="0" w:right="0" w:firstLine="709"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eastAsia="Times New Roman" w:cs="Times New Roman"/>
          <w:sz w:val="24"/>
          <w:szCs w:val="24"/>
        </w:rPr>
        <w:t xml:space="preserve">1.3.</w:t>
      </w:r>
      <w:r>
        <w:rPr>
          <w:rFonts w:eastAsia="Times New Roman" w:cs="Times New Roman"/>
          <w:b w:val="0"/>
          <w:bCs w:val="0"/>
          <w:sz w:val="24"/>
          <w:szCs w:val="24"/>
        </w:rPr>
        <w:t xml:space="preserve"> </w:t>
      </w:r>
      <w:bookmarkStart w:id="4" w:name="undefined_Копия_2"/>
      <w:r/>
      <w:bookmarkStart w:id="5" w:name="undefined_Копия_1"/>
      <w:r/>
      <w:bookmarkEnd w:id="5"/>
      <w:r>
        <w:rPr>
          <w:rFonts w:eastAsia="Times New Roman" w:cs="Times New Roman"/>
          <w:b w:val="0"/>
          <w:bCs w:val="0"/>
          <w:sz w:val="24"/>
          <w:szCs w:val="24"/>
        </w:rPr>
        <w:t xml:space="preserve">Информация в отношении исполнения договора, </w:t>
      </w:r>
      <w:bookmarkEnd w:id="4"/>
      <w:r>
        <w:rPr>
          <w:rFonts w:eastAsia="Times New Roman" w:cs="Times New Roman"/>
          <w:b w:val="0"/>
          <w:bCs w:val="0"/>
          <w:sz w:val="24"/>
          <w:szCs w:val="24"/>
        </w:rPr>
        <w:t xml:space="preserve">которая должна быть учтена при подготовке заявки </w:t>
      </w:r>
      <w:bookmarkStart w:id="6" w:name="undefined_Копия_3"/>
      <w:r>
        <w:rPr>
          <w:rFonts w:eastAsia="Times New Roman" w:cs="Times New Roman"/>
          <w:b w:val="0"/>
          <w:bCs w:val="0"/>
          <w:sz w:val="24"/>
          <w:szCs w:val="24"/>
        </w:rPr>
        <w:t xml:space="preserve">(в том числе перечень ресурсов, услуг и документов, предоставляемых заказчиком на этапе исполнения договора)</w:t>
      </w:r>
      <w:r>
        <w:rPr>
          <w:rFonts w:cs="Times New Roman"/>
          <w:b w:val="0"/>
          <w:bCs w:val="0"/>
          <w:sz w:val="24"/>
          <w:szCs w:val="24"/>
        </w:rPr>
        <w:t xml:space="preserve">.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pStyle w:val="866"/>
        <w:numPr>
          <w:ilvl w:val="0"/>
          <w:numId w:val="0"/>
        </w:numPr>
        <w:ind w:left="0" w:firstLine="709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b w:val="0"/>
          <w:bCs w:val="0"/>
          <w:sz w:val="24"/>
          <w:szCs w:val="24"/>
        </w:rPr>
        <w:t xml:space="preserve">1.3.1 При наличии технической возможности у Заказчика, Заказчик может обеспечить Подрядчику возможность подключения к имеющимся бытовым источникам электроснабжения, водоснабжения, канализации для целей выполнения Работ по Договору.</w:t>
      </w:r>
      <w:r>
        <w:rPr>
          <w:rFonts w:eastAsia="Times New Roman" w:cs="Times New Roman"/>
          <w:sz w:val="26"/>
          <w:szCs w:val="26"/>
        </w:rPr>
      </w:r>
      <w:r>
        <w:rPr>
          <w:rFonts w:eastAsia="Times New Roman" w:cs="Times New Roman"/>
          <w:sz w:val="26"/>
          <w:szCs w:val="26"/>
        </w:rPr>
      </w:r>
    </w:p>
    <w:p>
      <w:pPr>
        <w:pStyle w:val="863"/>
      </w:pPr>
      <w:r/>
      <w:r/>
    </w:p>
    <w:p>
      <w:pPr>
        <w:pStyle w:val="863"/>
      </w:pPr>
      <w:r/>
      <w:r/>
    </w:p>
    <w:p>
      <w:pPr>
        <w:pStyle w:val="863"/>
      </w:pPr>
      <w:r/>
      <w:r/>
    </w:p>
    <w:p>
      <w:pPr>
        <w:pStyle w:val="863"/>
      </w:pPr>
      <w:r/>
      <w:r/>
    </w:p>
    <w:p>
      <w:pPr>
        <w:pStyle w:val="863"/>
      </w:pPr>
      <w:r/>
      <w:r/>
    </w:p>
    <w:p>
      <w:pPr>
        <w:pStyle w:val="863"/>
      </w:pPr>
      <w:r/>
      <w:r/>
    </w:p>
    <w:p>
      <w:pPr>
        <w:pStyle w:val="863"/>
      </w:pPr>
      <w:r/>
      <w:r/>
    </w:p>
    <w:p>
      <w:pPr>
        <w:pStyle w:val="863"/>
        <w:contextualSpacing/>
        <w:ind w:firstLine="850"/>
        <w:keepLines/>
        <w:keepNext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 xml:space="preserve">2. Требования к продукции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3"/>
        <w:contextualSpacing/>
        <w:ind w:firstLine="850"/>
        <w:keepLines/>
        <w:keepNext/>
        <w:spacing w:before="0" w:after="0" w:line="240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eastAsia="Times New Roman" w:cs="Times New Roman"/>
          <w:b/>
          <w:bCs/>
          <w:sz w:val="24"/>
          <w:szCs w:val="24"/>
        </w:rPr>
        <w:t xml:space="preserve">2.1. </w:t>
      </w:r>
      <w:r>
        <w:rPr>
          <w:rFonts w:eastAsia="Times New Roman" w:cs="Times New Roman"/>
          <w:sz w:val="24"/>
          <w:szCs w:val="24"/>
        </w:rPr>
        <w:t xml:space="preserve">Требования к объемам и срокам выполнения работ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864"/>
        <w:numPr>
          <w:ilvl w:val="0"/>
          <w:numId w:val="0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              </w:t>
      </w:r>
      <w:r>
        <w:rPr>
          <w:rFonts w:eastAsia="Times New Roman" w:cs="Times New Roman"/>
          <w:sz w:val="24"/>
          <w:szCs w:val="24"/>
        </w:rPr>
        <w:t xml:space="preserve">2.1.1.</w:t>
      </w:r>
      <w:bookmarkEnd w:id="6"/>
      <w:r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b w:val="0"/>
          <w:bCs w:val="0"/>
          <w:sz w:val="24"/>
          <w:szCs w:val="24"/>
        </w:rPr>
        <w:t xml:space="preserve">Требования к видам и объемам работ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3"/>
        <w:contextualSpacing/>
        <w:ind w:firstLine="850"/>
        <w:keepLines/>
        <w:keepNext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3"/>
        <w:contextualSpacing/>
        <w:ind w:firstLine="850"/>
        <w:keepLines/>
        <w:keepNext/>
        <w:spacing w:before="0" w:after="0" w:line="240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eastAsia="Times New Roman" w:cs="Times New Roman"/>
          <w:b/>
          <w:bCs/>
          <w:sz w:val="24"/>
          <w:szCs w:val="24"/>
        </w:rPr>
        <w:t xml:space="preserve">Таблица 2.</w:t>
      </w:r>
      <w:r>
        <w:rPr>
          <w:rFonts w:eastAsia="Times New Roman" w:cs="Times New Roman"/>
          <w:sz w:val="24"/>
          <w:szCs w:val="24"/>
        </w:rPr>
        <w:t xml:space="preserve"> Перечень и объем выполняемых работ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tbl>
      <w:tblPr>
        <w:tblStyle w:val="1180"/>
        <w:tblW w:w="10064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08"/>
        <w:gridCol w:w="3826"/>
        <w:gridCol w:w="2976"/>
        <w:gridCol w:w="2553"/>
      </w:tblGrid>
      <w:tr>
        <w:tblPrEx/>
        <w:trPr/>
        <w:tc>
          <w:tcPr>
            <w:tcW w:w="708" w:type="dxa"/>
            <w:vAlign w:val="center"/>
            <w:textDirection w:val="lrTb"/>
            <w:noWrap w:val="false"/>
          </w:tcPr>
          <w:p>
            <w:pPr>
              <w:pStyle w:val="863"/>
              <w:contextualSpacing/>
              <w:jc w:val="center"/>
              <w:keepLines/>
              <w:keepNext/>
              <w:spacing w:before="0" w:after="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26" w:type="dxa"/>
            <w:vAlign w:val="center"/>
            <w:textDirection w:val="lrTb"/>
            <w:noWrap w:val="false"/>
          </w:tcPr>
          <w:p>
            <w:pPr>
              <w:pStyle w:val="863"/>
              <w:contextualSpacing/>
              <w:jc w:val="center"/>
              <w:keepLines/>
              <w:keepNext/>
              <w:spacing w:before="0" w:after="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Наименование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976" w:type="dxa"/>
            <w:vAlign w:val="center"/>
            <w:textDirection w:val="lrTb"/>
            <w:noWrap w:val="false"/>
          </w:tcPr>
          <w:p>
            <w:pPr>
              <w:pStyle w:val="863"/>
              <w:contextualSpacing/>
              <w:jc w:val="center"/>
              <w:keepLines/>
              <w:keepNext/>
              <w:spacing w:before="0" w:after="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Единица измерения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3" w:type="dxa"/>
            <w:vAlign w:val="center"/>
            <w:textDirection w:val="lrTb"/>
            <w:noWrap w:val="false"/>
          </w:tcPr>
          <w:p>
            <w:pPr>
              <w:pStyle w:val="863"/>
              <w:contextualSpacing/>
              <w:jc w:val="center"/>
              <w:keepLines/>
              <w:keepNext/>
              <w:spacing w:before="0" w:after="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Кол -во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8" w:type="dxa"/>
            <w:textDirection w:val="lrTb"/>
            <w:noWrap w:val="false"/>
          </w:tcPr>
          <w:p>
            <w:pPr>
              <w:pStyle w:val="863"/>
              <w:contextualSpacing/>
              <w:jc w:val="center"/>
              <w:keepLines/>
              <w:keepNext/>
              <w:spacing w:before="0" w:after="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826" w:type="dxa"/>
            <w:textDirection w:val="lrTb"/>
            <w:noWrap w:val="false"/>
          </w:tcPr>
          <w:p>
            <w:pPr>
              <w:pStyle w:val="863"/>
              <w:contextualSpacing/>
              <w:jc w:val="center"/>
              <w:keepLines/>
              <w:keepNext/>
              <w:spacing w:before="0" w:after="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pStyle w:val="863"/>
              <w:contextualSpacing/>
              <w:jc w:val="center"/>
              <w:keepLines/>
              <w:keepNext/>
              <w:spacing w:before="0" w:after="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 xml:space="preserve">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553" w:type="dxa"/>
            <w:textDirection w:val="lrTb"/>
            <w:noWrap w:val="false"/>
          </w:tcPr>
          <w:p>
            <w:pPr>
              <w:pStyle w:val="863"/>
              <w:contextualSpacing/>
              <w:jc w:val="center"/>
              <w:keepLines/>
              <w:keepNext/>
              <w:spacing w:before="0" w:after="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 xml:space="preserve">4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905"/>
        </w:trPr>
        <w:tc>
          <w:tcPr>
            <w:tcW w:w="708" w:type="dxa"/>
            <w:textDirection w:val="lrTb"/>
            <w:noWrap w:val="false"/>
          </w:tcPr>
          <w:p>
            <w:pPr>
              <w:pStyle w:val="863"/>
              <w:contextualSpacing/>
              <w:jc w:val="left"/>
              <w:keepLines/>
              <w:keepNext/>
              <w:spacing w:before="0" w:after="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26" w:type="dxa"/>
            <w:textDirection w:val="lrTb"/>
            <w:noWrap w:val="false"/>
          </w:tcPr>
          <w:p>
            <w:pPr>
              <w:pStyle w:val="863"/>
              <w:contextualSpacing/>
              <w:jc w:val="left"/>
              <w:keepLines/>
              <w:keepNext/>
              <w:spacing w:before="0" w:after="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 w:val="0"/>
                <w:bCs w:val="0"/>
                <w:sz w:val="24"/>
                <w:szCs w:val="24"/>
                <w:lang w:val="ru-RU" w:eastAsia="ru-RU" w:bidi="ar-SA"/>
              </w:rPr>
              <w:t xml:space="preserve">«ОКПД2 42.21.22 Выполнение работ по текущему ремонту участка теплотрассы г. Николаевск-на-Амуре для нужд структурного подразделения Николаевская ТЭЦ, АО ДГК»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5529" w:type="dxa"/>
            <w:vAlign w:val="center"/>
            <w:textDirection w:val="lrTb"/>
            <w:noWrap w:val="false"/>
          </w:tcPr>
          <w:p>
            <w:pPr>
              <w:pStyle w:val="863"/>
              <w:contextualSpacing/>
              <w:jc w:val="left"/>
              <w:keepLines/>
              <w:keepNext/>
              <w:spacing w:before="0" w:after="0"/>
              <w:widowControl w:val="off"/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В соответствии с ведомостью объемов работ </w:t>
            </w:r>
            <w:r>
              <w:rPr>
                <w:rFonts w:eastAsia="Times New Roman" w:cs="Times New Roman"/>
                <w:sz w:val="24"/>
                <w:szCs w:val="24"/>
                <w:highlight w:val="white"/>
                <w:lang w:val="ru-RU" w:eastAsia="ru-RU" w:bidi="ar-SA"/>
              </w:rPr>
              <w:t xml:space="preserve">(Приложение №1 к настоящим Техническим требованиям)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</w:p>
        </w:tc>
      </w:tr>
    </w:tbl>
    <w:p>
      <w:pPr>
        <w:pStyle w:val="863"/>
        <w:contextualSpacing/>
        <w:keepLines/>
        <w:keepNext/>
        <w:spacing w:before="0" w:after="0" w:line="24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63"/>
        <w:contextualSpacing/>
        <w:keepLines/>
        <w:keepNext/>
        <w:spacing w:before="0" w:after="0" w:line="24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63"/>
        <w:contextualSpacing/>
        <w:keepLines/>
        <w:keepNext/>
        <w:spacing w:before="0" w:after="0" w:line="24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63"/>
        <w:contextualSpacing/>
        <w:ind w:firstLine="850"/>
        <w:keepLines/>
        <w:keepNext/>
        <w:spacing w:before="0" w:after="0" w:line="24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eastAsia="Times New Roman" w:cs="Times New Roman"/>
          <w:sz w:val="24"/>
          <w:szCs w:val="24"/>
        </w:rPr>
        <w:t xml:space="preserve">2.1.2.</w:t>
        <w:tab/>
        <w:t xml:space="preserve">Требования к срокам выполнения работ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63"/>
        <w:contextualSpacing/>
        <w:ind w:firstLine="850"/>
        <w:keepLines/>
        <w:keepNext/>
        <w:spacing w:before="0" w:after="0" w:line="24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cs="Times New Roman"/>
          <w:b/>
          <w:bCs/>
          <w:sz w:val="24"/>
          <w:szCs w:val="24"/>
        </w:rPr>
        <w:t xml:space="preserve">Таблица 3. </w:t>
      </w:r>
      <w:r>
        <w:rPr>
          <w:rFonts w:cs="Times New Roman"/>
          <w:sz w:val="24"/>
          <w:szCs w:val="24"/>
        </w:rPr>
        <w:t xml:space="preserve">Требования к срокам выполнения работ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tbl>
      <w:tblPr>
        <w:tblStyle w:val="1180"/>
        <w:tblW w:w="10064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08"/>
        <w:gridCol w:w="4536"/>
        <w:gridCol w:w="2409"/>
        <w:gridCol w:w="2410"/>
      </w:tblGrid>
      <w:tr>
        <w:tblPrEx/>
        <w:trPr/>
        <w:tc>
          <w:tcPr>
            <w:tcW w:w="708" w:type="dxa"/>
            <w:vAlign w:val="center"/>
            <w:textDirection w:val="lrTb"/>
            <w:noWrap w:val="false"/>
          </w:tcPr>
          <w:p>
            <w:pPr>
              <w:pStyle w:val="863"/>
              <w:contextualSpacing/>
              <w:jc w:val="center"/>
              <w:keepLines/>
              <w:keepNext/>
              <w:spacing w:before="0" w:after="0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п/п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4536" w:type="dxa"/>
            <w:vAlign w:val="center"/>
            <w:textDirection w:val="lrTb"/>
            <w:noWrap w:val="false"/>
          </w:tcPr>
          <w:p>
            <w:pPr>
              <w:pStyle w:val="863"/>
              <w:contextualSpacing/>
              <w:jc w:val="center"/>
              <w:keepLines/>
              <w:keepNext/>
              <w:spacing w:before="0" w:after="0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Наименование работ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863"/>
              <w:contextualSpacing/>
              <w:jc w:val="center"/>
              <w:keepLines/>
              <w:keepNext/>
              <w:spacing w:before="0" w:after="0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Требования к началу срока выполнения работ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863"/>
              <w:contextualSpacing/>
              <w:jc w:val="center"/>
              <w:keepLines/>
              <w:keepNext/>
              <w:spacing w:before="0" w:after="0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Требования к окончанию срока выполнения работ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8" w:type="dxa"/>
            <w:textDirection w:val="lrTb"/>
            <w:noWrap w:val="false"/>
          </w:tcPr>
          <w:p>
            <w:pPr>
              <w:pStyle w:val="863"/>
              <w:contextualSpacing/>
              <w:jc w:val="center"/>
              <w:keepLines/>
              <w:keepNext/>
              <w:spacing w:before="0" w:after="0"/>
              <w:widowControl w:val="off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tcW w:w="4536" w:type="dxa"/>
            <w:textDirection w:val="lrTb"/>
            <w:noWrap w:val="false"/>
          </w:tcPr>
          <w:p>
            <w:pPr>
              <w:pStyle w:val="863"/>
              <w:contextualSpacing/>
              <w:jc w:val="center"/>
              <w:keepLines/>
              <w:keepNext/>
              <w:spacing w:before="0" w:after="0"/>
              <w:widowControl w:val="off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863"/>
              <w:contextualSpacing/>
              <w:jc w:val="center"/>
              <w:keepLines/>
              <w:keepNext/>
              <w:spacing w:before="0" w:after="0"/>
              <w:widowControl w:val="off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 xml:space="preserve">3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863"/>
              <w:contextualSpacing/>
              <w:jc w:val="center"/>
              <w:keepLines/>
              <w:keepNext/>
              <w:spacing w:before="0" w:after="0"/>
              <w:widowControl w:val="off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 xml:space="preserve">4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</w:tr>
      <w:tr>
        <w:tblPrEx/>
        <w:trPr/>
        <w:tc>
          <w:tcPr>
            <w:tcW w:w="708" w:type="dxa"/>
            <w:textDirection w:val="lrTb"/>
            <w:noWrap w:val="false"/>
          </w:tcPr>
          <w:p>
            <w:pPr>
              <w:pStyle w:val="863"/>
              <w:contextualSpacing/>
              <w:jc w:val="left"/>
              <w:keepLines/>
              <w:keepNext/>
              <w:spacing w:before="0" w:after="0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4536" w:type="dxa"/>
            <w:textDirection w:val="lrTb"/>
            <w:noWrap w:val="false"/>
          </w:tcPr>
          <w:p>
            <w:pPr>
              <w:pStyle w:val="863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rFonts w:eastAsia="Times New Roman" w:cs="Times New Roman"/>
                <w:b w:val="0"/>
                <w:bCs w:val="0"/>
                <w:sz w:val="24"/>
                <w:szCs w:val="24"/>
                <w:lang w:val="ru-RU" w:eastAsia="ru-RU" w:bidi="ar-SA"/>
              </w:rPr>
              <w:t xml:space="preserve">«ОКПД2 42.21.22 Выполнение работ по текущему ремонту участка теплотрассы г. Николаевск-на-Амуре для нужд структурного подразделения Николаевская ТЭЦ, АО ДГК»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863"/>
              <w:contextualSpacing/>
              <w:jc w:val="left"/>
              <w:keepLines/>
              <w:keepNext/>
              <w:spacing w:before="0" w:after="0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eastAsia="Calibri" w:cs="Times New Roman"/>
                <w:sz w:val="24"/>
                <w:szCs w:val="24"/>
                <w:lang w:val="ru-RU" w:eastAsia="ru-RU" w:bidi="ar-SA"/>
              </w:rPr>
              <w:t xml:space="preserve">С даты заключения Договора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863"/>
              <w:contextualSpacing/>
              <w:jc w:val="left"/>
              <w:keepLines/>
              <w:keepNext/>
              <w:spacing w:before="0" w:after="0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В течении 4 (четырех) месяцев со дня заключения Договора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</w:tbl>
    <w:p>
      <w:pPr>
        <w:sectPr>
          <w:headerReference w:type="default" r:id="rId9"/>
          <w:headerReference w:type="even" r:id="rId10"/>
          <w:headerReference w:type="first" r:id="rId11"/>
          <w:footerReference w:type="default" r:id="rId16"/>
          <w:footnotePr/>
          <w:endnotePr/>
          <w:type w:val="nextPage"/>
          <w:pgSz w:w="11906" w:h="16838" w:orient="portrait"/>
          <w:pgMar w:top="1134" w:right="851" w:bottom="992" w:left="1134" w:header="680" w:footer="737" w:gutter="0"/>
          <w:cols w:num="1" w:sep="0" w:space="1701" w:equalWidth="1"/>
          <w:docGrid w:linePitch="360"/>
          <w:titlePg/>
        </w:sectPr>
      </w:pPr>
      <w:r/>
      <w:r/>
    </w:p>
    <w:p>
      <w:pPr>
        <w:pStyle w:val="867"/>
        <w:numPr>
          <w:ilvl w:val="0"/>
          <w:numId w:val="0"/>
        </w:numPr>
        <w:ind w:left="0" w:firstLine="0"/>
      </w:pPr>
      <w:r>
        <w:t xml:space="preserve">2.2 </w:t>
      </w:r>
      <w:bookmarkStart w:id="7" w:name="_Toc54646410"/>
      <w:r/>
      <w:bookmarkStart w:id="8" w:name="_Toc51339698"/>
      <w:r>
        <w:t xml:space="preserve">Требования к качеству работ</w:t>
      </w:r>
      <w:r/>
    </w:p>
    <w:p>
      <w:pPr>
        <w:pStyle w:val="864"/>
        <w:numPr>
          <w:ilvl w:val="0"/>
          <w:numId w:val="0"/>
        </w:numPr>
        <w:ind w:left="0" w:firstLine="0"/>
        <w:keepLines/>
        <w:spacing w:before="240" w:after="60"/>
        <w:rPr>
          <w:sz w:val="24"/>
          <w:szCs w:val="24"/>
        </w:rPr>
      </w:pPr>
      <w:r>
        <w:rPr>
          <w:sz w:val="24"/>
          <w:szCs w:val="24"/>
        </w:rPr>
        <w:t xml:space="preserve">Таблица 4. Требования к </w:t>
      </w:r>
      <w:bookmarkEnd w:id="8"/>
      <w:r>
        <w:rPr>
          <w:sz w:val="24"/>
          <w:szCs w:val="24"/>
        </w:rPr>
        <w:t xml:space="preserve">качеству работ</w:t>
      </w:r>
      <w:bookmarkEnd w:id="7"/>
      <w:r>
        <w:rPr>
          <w:sz w:val="24"/>
          <w:szCs w:val="24"/>
        </w:rPr>
        <w:t xml:space="preserve">                                                                            </w:t>
      </w:r>
      <w:r>
        <w:rPr>
          <w:bCs/>
          <w:sz w:val="22"/>
          <w:szCs w:val="22"/>
          <w:highlight w:val="white"/>
        </w:rPr>
        <w:t xml:space="preserve">Наименование работ: </w:t>
      </w:r>
      <w:r>
        <w:rPr>
          <w:sz w:val="22"/>
          <w:szCs w:val="22"/>
          <w:highlight w:val="white"/>
        </w:rPr>
        <w:t xml:space="preserve">работы в соответствии с Таблицей 2.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1180"/>
        <w:tblW w:w="15165" w:type="dxa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43"/>
        <w:gridCol w:w="2126"/>
        <w:gridCol w:w="7086"/>
        <w:gridCol w:w="2977"/>
        <w:gridCol w:w="2233"/>
      </w:tblGrid>
      <w:tr>
        <w:tblPrEx/>
        <w:trPr/>
        <w:tc>
          <w:tcPr>
            <w:tcW w:w="743" w:type="dxa"/>
            <w:vAlign w:val="center"/>
            <w:vMerge w:val="restart"/>
            <w:textDirection w:val="lrTb"/>
            <w:noWrap w:val="false"/>
          </w:tcPr>
          <w:p>
            <w:pPr>
              <w:pStyle w:val="863"/>
              <w:jc w:val="left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п/п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pStyle w:val="863"/>
              <w:jc w:val="center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Наименование параметра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086" w:type="dxa"/>
            <w:vAlign w:val="center"/>
            <w:vMerge w:val="restart"/>
            <w:textDirection w:val="lrTb"/>
            <w:noWrap w:val="false"/>
          </w:tcPr>
          <w:p>
            <w:pPr>
              <w:pStyle w:val="863"/>
              <w:jc w:val="center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Требование заказчика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5210" w:type="dxa"/>
            <w:vAlign w:val="center"/>
            <w:textDirection w:val="lrTb"/>
            <w:noWrap w:val="false"/>
          </w:tcPr>
          <w:p>
            <w:pPr>
              <w:pStyle w:val="863"/>
              <w:jc w:val="center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743" w:type="dxa"/>
            <w:vAlign w:val="center"/>
            <w:vMerge w:val="continue"/>
            <w:textDirection w:val="lrTb"/>
            <w:noWrap w:val="false"/>
          </w:tcPr>
          <w:p>
            <w:pPr>
              <w:pStyle w:val="863"/>
              <w:jc w:val="left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vMerge w:val="continue"/>
            <w:textDirection w:val="lrTb"/>
            <w:noWrap w:val="false"/>
          </w:tcPr>
          <w:p>
            <w:pPr>
              <w:pStyle w:val="863"/>
              <w:jc w:val="left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086" w:type="dxa"/>
            <w:vAlign w:val="center"/>
            <w:vMerge w:val="continue"/>
            <w:textDirection w:val="lrTb"/>
            <w:noWrap w:val="false"/>
          </w:tcPr>
          <w:p>
            <w:pPr>
              <w:pStyle w:val="863"/>
              <w:jc w:val="left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977" w:type="dxa"/>
            <w:vAlign w:val="center"/>
            <w:textDirection w:val="lrTb"/>
            <w:noWrap w:val="false"/>
          </w:tcPr>
          <w:p>
            <w:pPr>
              <w:pStyle w:val="863"/>
              <w:jc w:val="center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33" w:type="dxa"/>
            <w:vAlign w:val="center"/>
            <w:textDirection w:val="lrTb"/>
            <w:noWrap w:val="false"/>
          </w:tcPr>
          <w:p>
            <w:pPr>
              <w:pStyle w:val="863"/>
              <w:jc w:val="center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743" w:type="dxa"/>
            <w:vAlign w:val="center"/>
            <w:textDirection w:val="lrTb"/>
            <w:noWrap w:val="false"/>
          </w:tcPr>
          <w:p>
            <w:pPr>
              <w:pStyle w:val="863"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1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63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7086" w:type="dxa"/>
            <w:vAlign w:val="center"/>
            <w:textDirection w:val="lrTb"/>
            <w:noWrap w:val="false"/>
          </w:tcPr>
          <w:p>
            <w:pPr>
              <w:pStyle w:val="863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977" w:type="dxa"/>
            <w:vAlign w:val="center"/>
            <w:textDirection w:val="lrTb"/>
            <w:noWrap w:val="false"/>
          </w:tcPr>
          <w:p>
            <w:pPr>
              <w:pStyle w:val="863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233" w:type="dxa"/>
            <w:vAlign w:val="center"/>
            <w:textDirection w:val="lrTb"/>
            <w:noWrap w:val="false"/>
          </w:tcPr>
          <w:p>
            <w:pPr>
              <w:pStyle w:val="863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43" w:type="dxa"/>
            <w:vAlign w:val="center"/>
            <w:textDirection w:val="lrTb"/>
            <w:noWrap w:val="false"/>
          </w:tcPr>
          <w:p>
            <w:pPr>
              <w:pStyle w:val="863"/>
              <w:jc w:val="left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9212" w:type="dxa"/>
            <w:vAlign w:val="center"/>
            <w:textDirection w:val="lrTb"/>
            <w:noWrap w:val="false"/>
          </w:tcPr>
          <w:p>
            <w:pPr>
              <w:pStyle w:val="863"/>
              <w:jc w:val="left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выполнению работ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977" w:type="dxa"/>
            <w:vAlign w:val="center"/>
            <w:textDirection w:val="lrTb"/>
            <w:noWrap w:val="false"/>
          </w:tcPr>
          <w:p>
            <w:pPr>
              <w:pStyle w:val="863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233" w:type="dxa"/>
            <w:vAlign w:val="center"/>
            <w:textDirection w:val="lrTb"/>
            <w:noWrap w:val="false"/>
          </w:tcPr>
          <w:p>
            <w:pPr>
              <w:pStyle w:val="863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43" w:type="dxa"/>
            <w:vAlign w:val="center"/>
            <w:textDirection w:val="lrTb"/>
            <w:noWrap w:val="false"/>
          </w:tcPr>
          <w:p>
            <w:pPr>
              <w:pStyle w:val="980"/>
              <w:numPr>
                <w:ilvl w:val="1"/>
                <w:numId w:val="6"/>
              </w:numPr>
              <w:contextualSpacing/>
              <w:ind w:left="0" w:firstLine="0"/>
              <w:jc w:val="center"/>
              <w:spacing w:before="60" w:after="60"/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tcW w:w="9212" w:type="dxa"/>
            <w:vAlign w:val="center"/>
            <w:textDirection w:val="lrTb"/>
            <w:noWrap w:val="false"/>
          </w:tcPr>
          <w:p>
            <w:pPr>
              <w:pStyle w:val="863"/>
              <w:jc w:val="left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Общие требования к выполнению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863"/>
              <w:jc w:val="left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233" w:type="dxa"/>
            <w:textDirection w:val="lrTb"/>
            <w:noWrap w:val="false"/>
          </w:tcPr>
          <w:p>
            <w:pPr>
              <w:pStyle w:val="863"/>
              <w:jc w:val="left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43" w:type="dxa"/>
            <w:textDirection w:val="lrTb"/>
            <w:noWrap w:val="false"/>
          </w:tcPr>
          <w:p>
            <w:pPr>
              <w:pStyle w:val="980"/>
              <w:numPr>
                <w:ilvl w:val="2"/>
                <w:numId w:val="6"/>
              </w:numPr>
              <w:contextualSpacing/>
              <w:ind w:left="0" w:firstLine="0"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pPr>
              <w:pStyle w:val="863"/>
              <w:jc w:val="left"/>
              <w:spacing w:before="0" w:after="0"/>
              <w:widowControl w:val="off"/>
              <w:rPr>
                <w:b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Соблюдение при выполнении работ норм и правил нормативно-технических документов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W w:w="7086" w:type="dxa"/>
            <w:textDirection w:val="lrTb"/>
            <w:noWrap w:val="false"/>
          </w:tcPr>
          <w:p>
            <w:pPr>
              <w:pStyle w:val="863"/>
              <w:contextualSpacing/>
              <w:ind w:firstLine="206"/>
              <w:jc w:val="both"/>
              <w:spacing w:before="0" w:after="0"/>
              <w:widowControl w:val="off"/>
              <w:tabs>
                <w:tab w:val="left" w:pos="182" w:leader="none"/>
                <w:tab w:val="left" w:pos="413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При выполнении работ 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РД 153-34.1-003-01. «Сварка, термообработка и контроль трубных систем котлов и трубопроводов при монтаже и ремонте энергетического оборудования;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  <w:lang w:val="ru-RU" w:eastAsia="ru-RU" w:bidi="ar-SA"/>
              </w:rPr>
              <w:t xml:space="preserve">ГОСТ 16037-80. Соединения сварных стальных трубопроводов. Основные типы, конструктивные элементы и размеры;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«</w:t>
            </w:r>
            <w:r>
              <w:rPr>
                <w:iCs/>
                <w:sz w:val="24"/>
                <w:szCs w:val="24"/>
                <w:lang w:val="ru-RU" w:eastAsia="ru-RU" w:bidi="ar-SA"/>
              </w:rPr>
              <w:t xml:space="preserve">Правила организации технического обслуживания и ремонта объектов электроэнергетики» (приказ МинЭнерго России от 25.10.2017г. №1013);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  <w:lang w:val="ru-RU" w:eastAsia="ru-RU" w:bidi="ar-SA"/>
              </w:rPr>
              <w:t xml:space="preserve">СП 48.13330.2019 «Организация строительства. Актуализированная редакция СНиП 12-01-2004»;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СП 45.13330.2017 Свод правил. Земляные сооружения, основания и фундаменты. Актуализированная редакция СНиП 3.02.01-87 (ред. 20.11.2019);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СП 71.13330.2017 «Изоляционные и отделочные покрытия» (ред. от 26.12.2024);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ВСН 214-82 Сборник инструкций по защите от коррозий;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Инструкция №2 по подготовке металлических и бетонных поверхностей подлежащих антикоррозийной защите;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СП 72.13330.2016. Свод правил. Защита строительных конструкций и сооружений от коррозии. СНиП 3.04.03-85" (ред. от 28.01.2019);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СП 74.13330.2023 «Тепловые сети» СНиП 3.05.03-85. «Тепловые сети»);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СП 124.13330.2012. Свод правил. Тепловые сети. Актуализированная редакция СНиП 41-02-2003" (утв. Приказом Минрегиона России от 30.06.2012 N 280) (ред. от 31.05.2022);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МДС 12-81.2007. «Методические рекомендации по разработке и оформлению проекта организации строительства и проекта производства работ»;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СП 68.13330.2017 «Приемка в эксплуатацию законченных строительством объектов. Основные положения» (с Изм. N 1) (ред. от 10.12.2019);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Положением об организации контроля и приемке выполненных работ на ремонтируемых объектах, объектах модернизации, реконструкции и технического перевооружения- 21-003-2019.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both"/>
              <w:spacing w:before="0" w:after="0"/>
              <w:widowControl w:val="off"/>
              <w:rPr>
                <w:bCs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ru-RU" w:eastAsia="ru-RU" w:bidi="ar-SA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развитие.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W w:w="2977" w:type="dxa"/>
            <w:textDirection w:val="lrTb"/>
            <w:noWrap w:val="false"/>
          </w:tcPr>
          <w:p>
            <w:pPr>
              <w:pStyle w:val="863"/>
              <w:jc w:val="center"/>
              <w:spacing w:before="0" w:after="0"/>
              <w:shd w:val="clear" w:color="fefefe" w:fill="fefefe"/>
              <w:widowControl w:val="off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lang w:val="ru-RU" w:eastAsia="ru-RU" w:bidi="ar-SA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 по форме Технического требования, установленной в Документации о закупке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pStyle w:val="863"/>
              <w:widowControl w:val="off"/>
            </w:pPr>
            <w:r/>
            <w:r/>
          </w:p>
          <w:p>
            <w:pPr>
              <w:pStyle w:val="863"/>
              <w:jc w:val="left"/>
              <w:spacing w:before="0" w:after="0"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863"/>
              <w:jc w:val="center"/>
              <w:spacing w:before="0" w:after="0"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863"/>
              <w:jc w:val="center"/>
              <w:spacing w:before="0" w:after="0"/>
              <w:widowControl w:val="off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</w:r>
            <w:r>
              <w:rPr>
                <w:b/>
                <w:i/>
                <w:sz w:val="24"/>
                <w:szCs w:val="24"/>
              </w:rPr>
            </w:r>
            <w:r>
              <w:rPr>
                <w:b/>
                <w:i/>
                <w:sz w:val="24"/>
                <w:szCs w:val="24"/>
              </w:rPr>
            </w:r>
          </w:p>
          <w:p>
            <w:pPr>
              <w:pStyle w:val="863"/>
              <w:jc w:val="center"/>
              <w:spacing w:before="0" w:after="0"/>
              <w:widowControl w:val="off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</w:r>
            <w:r>
              <w:rPr>
                <w:b/>
                <w:i/>
                <w:sz w:val="24"/>
                <w:szCs w:val="24"/>
              </w:rPr>
            </w:r>
            <w:r>
              <w:rPr>
                <w:b/>
                <w:i/>
                <w:sz w:val="24"/>
                <w:szCs w:val="24"/>
              </w:rPr>
            </w:r>
          </w:p>
          <w:p>
            <w:pPr>
              <w:pStyle w:val="863"/>
              <w:jc w:val="left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863"/>
              <w:widowControl w:val="off"/>
            </w:pPr>
            <w:r/>
            <w:r/>
          </w:p>
          <w:p>
            <w:pPr>
              <w:pStyle w:val="863"/>
              <w:jc w:val="center"/>
              <w:spacing w:before="0" w:after="0"/>
              <w:shd w:val="clear" w:color="fefefe" w:fill="fefefe"/>
              <w:widowControl w:val="off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pStyle w:val="863"/>
              <w:jc w:val="center"/>
              <w:spacing w:before="0" w:after="0"/>
              <w:widowControl w:val="off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</w:r>
            <w:r>
              <w:rPr>
                <w:b/>
                <w:i/>
                <w:sz w:val="24"/>
                <w:szCs w:val="24"/>
              </w:rPr>
            </w:r>
            <w:r>
              <w:rPr>
                <w:b/>
                <w:i/>
                <w:sz w:val="24"/>
                <w:szCs w:val="24"/>
              </w:rPr>
            </w:r>
          </w:p>
          <w:p>
            <w:pPr>
              <w:pStyle w:val="863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center"/>
              <w:spacing w:before="0" w:after="0"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863"/>
              <w:jc w:val="center"/>
              <w:spacing w:before="0" w:after="0"/>
              <w:widowControl w:val="off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  <w:p>
            <w:pPr>
              <w:pStyle w:val="863"/>
              <w:jc w:val="left"/>
              <w:spacing w:before="0" w:after="0"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863"/>
              <w:widowControl w:val="off"/>
            </w:pPr>
            <w:r/>
            <w:r/>
          </w:p>
          <w:p>
            <w:pPr>
              <w:pStyle w:val="863"/>
              <w:widowControl w:val="off"/>
            </w:pPr>
            <w:r/>
            <w:r/>
          </w:p>
          <w:p>
            <w:pPr>
              <w:pStyle w:val="863"/>
              <w:jc w:val="center"/>
              <w:spacing w:before="0" w:after="0"/>
              <w:widowControl w:val="off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  <w:p>
            <w:pPr>
              <w:pStyle w:val="863"/>
              <w:widowControl w:val="off"/>
            </w:pPr>
            <w:r/>
            <w:r/>
          </w:p>
          <w:p>
            <w:pPr>
              <w:pStyle w:val="863"/>
              <w:widowControl w:val="off"/>
            </w:pPr>
            <w:r/>
            <w:r/>
          </w:p>
          <w:p>
            <w:pPr>
              <w:pStyle w:val="863"/>
              <w:widowControl w:val="off"/>
            </w:pPr>
            <w:r/>
            <w:r/>
          </w:p>
          <w:p>
            <w:pPr>
              <w:pStyle w:val="863"/>
              <w:jc w:val="center"/>
              <w:spacing w:before="0" w:after="0"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863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left"/>
              <w:spacing w:before="0" w:after="0"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863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center"/>
              <w:spacing w:before="0" w:after="0"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863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shd w:val="clear" w:color="auto" w:fill="auto"/>
            <w:tcW w:w="2233" w:type="dxa"/>
            <w:textDirection w:val="lrTb"/>
            <w:noWrap w:val="false"/>
          </w:tcPr>
          <w:p>
            <w:pPr>
              <w:pStyle w:val="995"/>
              <w:numPr>
                <w:ilvl w:val="0"/>
                <w:numId w:val="0"/>
              </w:numPr>
              <w:ind w:left="0" w:firstLine="0"/>
              <w:jc w:val="left"/>
              <w:keepNext w:val="0"/>
              <w:spacing w:before="0" w:after="60"/>
              <w:widowControl w:val="off"/>
              <w:rPr>
                <w:rFonts w:eastAsia="Times New Roman"/>
              </w:rPr>
              <w:outlineLvl w:val="2"/>
            </w:pPr>
            <w:r>
              <w:rPr>
                <w:rFonts w:eastAsia="Times New Roman" w:cs="Arial Unicode MS"/>
                <w:sz w:val="20"/>
                <w:szCs w:val="20"/>
                <w:lang w:val="ru-RU" w:eastAsia="ru-RU" w:bidi="ar-SA"/>
              </w:rPr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</w:tc>
      </w:tr>
      <w:tr>
        <w:tblPrEx/>
        <w:trPr/>
        <w:tc>
          <w:tcPr>
            <w:tcW w:w="743" w:type="dxa"/>
            <w:vAlign w:val="center"/>
            <w:textDirection w:val="lrTb"/>
            <w:noWrap w:val="false"/>
          </w:tcPr>
          <w:p>
            <w:pPr>
              <w:pStyle w:val="980"/>
              <w:numPr>
                <w:ilvl w:val="1"/>
                <w:numId w:val="6"/>
              </w:numPr>
              <w:contextualSpacing/>
              <w:ind w:left="0" w:firstLine="0"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9212" w:type="dxa"/>
            <w:vAlign w:val="center"/>
            <w:textDirection w:val="lrTb"/>
            <w:noWrap w:val="false"/>
          </w:tcPr>
          <w:p>
            <w:pPr>
              <w:pStyle w:val="863"/>
              <w:jc w:val="left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организации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863"/>
              <w:widowControl w:val="off"/>
            </w:pPr>
            <w:r/>
            <w:r/>
          </w:p>
        </w:tc>
        <w:tc>
          <w:tcPr>
            <w:tcW w:w="2233" w:type="dxa"/>
            <w:textDirection w:val="lrTb"/>
            <w:noWrap w:val="false"/>
          </w:tcPr>
          <w:p>
            <w:pPr>
              <w:pStyle w:val="863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396"/>
        </w:trPr>
        <w:tc>
          <w:tcPr>
            <w:tcW w:w="743" w:type="dxa"/>
            <w:textDirection w:val="lrTb"/>
            <w:noWrap w:val="false"/>
          </w:tcPr>
          <w:p>
            <w:pPr>
              <w:pStyle w:val="980"/>
              <w:numPr>
                <w:ilvl w:val="2"/>
                <w:numId w:val="6"/>
              </w:numPr>
              <w:contextualSpacing/>
              <w:ind w:left="0" w:firstLine="0"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863"/>
              <w:jc w:val="center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sz w:val="24"/>
                <w:szCs w:val="24"/>
              </w:rPr>
            </w:pPr>
            <w:r>
              <w:rPr>
                <w:i/>
                <w:sz w:val="24"/>
                <w:szCs w:val="24"/>
                <w:highlight w:val="white"/>
                <w:lang w:val="ru-RU" w:eastAsia="ru-RU" w:bidi="ar-SA"/>
              </w:rPr>
              <w:t xml:space="preserve">Требования к организации процесса выполнения работ: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7086" w:type="dxa"/>
            <w:vAlign w:val="center"/>
            <w:textDirection w:val="lrTb"/>
            <w:noWrap w:val="false"/>
          </w:tcPr>
          <w:p>
            <w:pPr>
              <w:pStyle w:val="863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highlight w:val="white"/>
                <w:lang w:val="ru-RU" w:eastAsia="ru-RU" w:bidi="ar-SA"/>
              </w:rPr>
              <w:t xml:space="preserve">Комплекс организационно–технически</w:t>
            </w:r>
            <w:r>
              <w:rPr>
                <w:bCs/>
                <w:sz w:val="24"/>
                <w:szCs w:val="24"/>
                <w:highlight w:val="white"/>
                <w:lang w:val="ru-RU" w:eastAsia="ru-RU" w:bidi="ar-SA"/>
              </w:rPr>
              <w:t xml:space="preserve">х мероприятий, выполняемый при подготовке к ремонту, должен обеспечивать планомерное и качественное выполнение ремонтных работ в установленные сроки, качество ремонтных работ и отремонтированную тепловую сеть, оптимальное расходование материально-техническ</w:t>
            </w:r>
            <w:r>
              <w:rPr>
                <w:bCs/>
                <w:sz w:val="24"/>
                <w:szCs w:val="24"/>
                <w:highlight w:val="white"/>
                <w:lang w:val="ru-RU" w:eastAsia="ru-RU" w:bidi="ar-SA"/>
              </w:rPr>
              <w:t xml:space="preserve">их и трудовых ресурсов. Подрядная организация разрабатывает планы подготовки к ремонту в соответствии с планами производственных объектов, принятыми к исполнению объемами работ и согласованным участием в материально–техническом обеспечении ремонтных работ.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highlight w:val="white"/>
                <w:lang w:val="ru-RU" w:eastAsia="ru-RU" w:bidi="ar-SA"/>
              </w:rPr>
              <w:t xml:space="preserve">Изменения объемов работ, предусмотренных ведомостью планируемых работ, оформляются в соответствии с требованиями Правил ТОиР (ведомостью дополнительных работ по ремонту и протоколом исключения работ из ведомости планируемых работ по ремонту) </w:t>
            </w:r>
            <w:r>
              <w:rPr>
                <w:rFonts w:cs="Times New Roman"/>
                <w:bCs/>
                <w:sz w:val="24"/>
                <w:szCs w:val="24"/>
                <w:highlight w:val="white"/>
                <w:lang w:val="ru-RU" w:eastAsia="ru-RU" w:bidi="ar-SA"/>
              </w:rPr>
              <w:t xml:space="preserve">(Приложение №3 к Техническим требованиям)</w:t>
            </w:r>
            <w:r>
              <w:rPr>
                <w:bCs/>
                <w:sz w:val="24"/>
                <w:szCs w:val="24"/>
                <w:highlight w:val="white"/>
                <w:lang w:val="ru-RU" w:eastAsia="ru-RU" w:bidi="ar-SA"/>
              </w:rPr>
              <w:t xml:space="preserve">, согласовываются с подрядчиками и утверждаются техническим руководителем структурного подразделения, ответст</w:t>
            </w:r>
            <w:r>
              <w:rPr>
                <w:bCs/>
                <w:sz w:val="24"/>
                <w:szCs w:val="24"/>
                <w:highlight w:val="white"/>
                <w:lang w:val="ru-RU" w:eastAsia="ru-RU" w:bidi="ar-SA"/>
              </w:rPr>
              <w:t xml:space="preserve">венного за непосредственную эксплуатацию производственного объекта. Перечень, форма и сроки передачи ремонтной документации, передаваемой Заказчиком, ответственным за непосредственную эксплуатацию производственного объекта, определяется условиями договора.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highlight w:val="white"/>
                <w:lang w:val="ru-RU" w:eastAsia="ru-RU" w:bidi="ar-SA"/>
              </w:rPr>
              <w:t xml:space="preserve">До начала ремонта подрядная организация: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numPr>
                <w:ilvl w:val="0"/>
                <w:numId w:val="7"/>
              </w:numPr>
              <w:contextualSpacing/>
              <w:ind w:left="35" w:hanging="360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highlight w:val="white"/>
                <w:lang w:val="ru-RU" w:eastAsia="ru-RU" w:bidi="ar-SA"/>
              </w:rPr>
              <w:t xml:space="preserve">проводит проверку выполнения подготовительных работ в соответствии с планом подготовки к ремонту.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numPr>
                <w:ilvl w:val="0"/>
                <w:numId w:val="7"/>
              </w:numPr>
              <w:contextualSpacing/>
              <w:ind w:left="35" w:hanging="360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highlight w:val="white"/>
                <w:lang w:val="ru-RU" w:eastAsia="ru-RU" w:bidi="ar-SA"/>
              </w:rPr>
              <w:t xml:space="preserve">определ</w:t>
            </w:r>
            <w:r>
              <w:rPr>
                <w:rFonts w:eastAsia="Calibri"/>
                <w:bCs/>
                <w:sz w:val="24"/>
                <w:szCs w:val="24"/>
                <w:highlight w:val="white"/>
                <w:lang w:val="ru-RU" w:eastAsia="ru-RU" w:bidi="ar-SA"/>
              </w:rPr>
              <w:t xml:space="preserve">яет состав бригад (участков) по ремонту тепловой сети по численности, квалификации и профессиям в соответствии с сетевым графиком ремонта. При этом должна быть обеспечена полная занятость рабочих в течение установленных графиком сроков производства работ;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numPr>
                <w:ilvl w:val="0"/>
                <w:numId w:val="7"/>
              </w:numPr>
              <w:contextualSpacing/>
              <w:ind w:left="35" w:hanging="360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highlight w:val="white"/>
                <w:lang w:val="ru-RU" w:eastAsia="ru-RU" w:bidi="ar-SA"/>
              </w:rPr>
              <w:t xml:space="preserve">назначает руководителей работ по ремонту тепловых сетей в соответствии с номенклатурой и объемом работ, принятым по договору;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numPr>
                <w:ilvl w:val="0"/>
                <w:numId w:val="7"/>
              </w:numPr>
              <w:contextualSpacing/>
              <w:ind w:left="35" w:hanging="360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highlight w:val="white"/>
                <w:lang w:val="ru-RU" w:eastAsia="ru-RU" w:bidi="ar-SA"/>
              </w:rPr>
              <w:t xml:space="preserve">назначает лиц, ответственных за соблюдение норм и правил в области охраны труда, электробезопасности, пожарной и промышленной безопасности и материально–техническое обеспечение;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numPr>
                <w:ilvl w:val="0"/>
                <w:numId w:val="7"/>
              </w:numPr>
              <w:contextualSpacing/>
              <w:ind w:left="35" w:hanging="360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highlight w:val="white"/>
                <w:lang w:val="ru-RU" w:eastAsia="ru-RU" w:bidi="ar-SA"/>
              </w:rPr>
              <w:t xml:space="preserve">проверяет удостоверения лиц других специальностей на право выполнения работ при ремонте теплотрасс;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numPr>
                <w:ilvl w:val="0"/>
                <w:numId w:val="7"/>
              </w:numPr>
              <w:contextualSpacing/>
              <w:ind w:left="35" w:hanging="360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highlight w:val="white"/>
                <w:lang w:val="ru-RU" w:eastAsia="ru-RU" w:bidi="ar-SA"/>
              </w:rPr>
              <w:t xml:space="preserve">проверяет выполнение требований допуска ремонтного и командированного персонала, предусмотренного п. 1.2.2 технических требований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ind w:firstLine="456"/>
              <w:jc w:val="both"/>
              <w:spacing w:before="0" w:after="60"/>
              <w:widowControl w:val="off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highlight w:val="white"/>
                <w:lang w:val="ru-RU" w:eastAsia="ru-RU" w:bidi="ar-SA"/>
              </w:rPr>
              <w:t xml:space="preserve">Руководители работ подрядных организаций, участвующие в производстве Работ совместно с представителями Заказчика, осуществляют входной контроль качеств</w:t>
            </w:r>
            <w:r>
              <w:rPr>
                <w:rFonts w:eastAsia="Calibri"/>
                <w:bCs/>
                <w:sz w:val="24"/>
                <w:szCs w:val="24"/>
                <w:highlight w:val="white"/>
                <w:lang w:val="ru-RU" w:eastAsia="ru-RU" w:bidi="ar-SA"/>
              </w:rPr>
              <w:t xml:space="preserve">а применяемых материалов, проводят оперативный контроль качества выполняемых ремонтных работ, проверяют соблюдение технологической дисциплины (выполнение требований технологической документации, качества применяемой оснастки, приспособлений и инструмента).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ind w:firstLine="456"/>
              <w:jc w:val="both"/>
              <w:spacing w:before="0" w:after="60"/>
              <w:widowControl w:val="off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highlight w:val="white"/>
                <w:lang w:val="ru-RU" w:eastAsia="ru-RU" w:bidi="ar-SA"/>
              </w:rPr>
              <w:t xml:space="preserve">Более подробно требования к организации работ указаны в проекте договора подряда (в том числе в разделе №2), который включен в состав Документации о закупке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863"/>
              <w:widowControl w:val="off"/>
            </w:pPr>
            <w:r/>
            <w:r/>
          </w:p>
        </w:tc>
        <w:tc>
          <w:tcPr>
            <w:tcW w:w="2233" w:type="dxa"/>
            <w:textDirection w:val="lrTb"/>
            <w:noWrap w:val="false"/>
          </w:tcPr>
          <w:p>
            <w:pPr>
              <w:pStyle w:val="995"/>
              <w:numPr>
                <w:ilvl w:val="0"/>
                <w:numId w:val="0"/>
              </w:numPr>
              <w:ind w:left="0" w:firstLine="0"/>
              <w:jc w:val="left"/>
              <w:keepNext w:val="0"/>
              <w:spacing w:before="0" w:after="60"/>
              <w:widowControl w:val="off"/>
              <w:rPr>
                <w:rFonts w:eastAsia="Times New Roman"/>
                <w:b w:val="0"/>
              </w:rPr>
              <w:outlineLvl w:val="2"/>
            </w:pPr>
            <w:r>
              <w:rPr>
                <w:rFonts w:eastAsia="Times New Roman" w:cs="Arial Unicode MS"/>
                <w:b w:val="0"/>
                <w:sz w:val="20"/>
                <w:szCs w:val="20"/>
                <w:lang w:val="ru-RU" w:eastAsia="ru-RU" w:bidi="ar-SA"/>
              </w:rPr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</w:r>
          </w:p>
        </w:tc>
      </w:tr>
      <w:tr>
        <w:tblPrEx/>
        <w:trPr>
          <w:trHeight w:val="887"/>
        </w:trPr>
        <w:tc>
          <w:tcPr>
            <w:tcW w:w="743" w:type="dxa"/>
            <w:textDirection w:val="lrTb"/>
            <w:noWrap w:val="false"/>
          </w:tcPr>
          <w:p>
            <w:pPr>
              <w:pStyle w:val="980"/>
              <w:numPr>
                <w:ilvl w:val="2"/>
                <w:numId w:val="6"/>
              </w:numPr>
              <w:contextualSpacing/>
              <w:ind w:left="0" w:firstLine="0"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863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Организационно-технические мероприятия по допуску персонала подрядчика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center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7086" w:type="dxa"/>
            <w:vAlign w:val="center"/>
            <w:textDirection w:val="lrTb"/>
            <w:noWrap w:val="false"/>
          </w:tcPr>
          <w:p>
            <w:pPr>
              <w:pStyle w:val="863"/>
              <w:ind w:firstLine="456"/>
              <w:jc w:val="both"/>
              <w:spacing w:before="0" w:after="60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rFonts w:eastAsia="Calibri"/>
                <w:bCs/>
                <w:sz w:val="24"/>
                <w:szCs w:val="24"/>
                <w:highlight w:val="white"/>
                <w:lang w:val="ru-RU" w:eastAsia="ru-RU" w:bidi="ar-SA"/>
              </w:rPr>
              <w:t xml:space="preserve">Допуск персонала подрядчика для выполнения работ должен осуществляться в соответствии с: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63"/>
              <w:numPr>
                <w:ilvl w:val="0"/>
                <w:numId w:val="8"/>
              </w:numPr>
              <w:contextualSpacing/>
              <w:ind w:left="35" w:hanging="360"/>
              <w:jc w:val="both"/>
              <w:spacing w:before="0" w:after="60"/>
              <w:widowControl w:val="off"/>
              <w:tabs>
                <w:tab w:val="left" w:pos="406" w:leader="none"/>
                <w:tab w:val="clear" w:pos="708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rFonts w:eastAsia="Times New Roman" w:cs="Times New Roman"/>
                <w:bCs/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- Положением </w:t>
            </w:r>
            <w:r>
              <w:rPr>
                <w:rFonts w:eastAsia="Times New Roman" w:cs="Times New Roman"/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о допуске персонала подрядных организаций к выполнению работ на объектах АО «ДГК» 22.1-504-2025</w:t>
            </w:r>
            <w:r>
              <w:rPr>
                <w:rFonts w:eastAsia="Times New Roman" w:cs="Times New Roman"/>
                <w:bCs/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 (утверждено приказом АО «ДГК» № П-ДГК/795 от 25.09.2025)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63"/>
              <w:numPr>
                <w:ilvl w:val="0"/>
                <w:numId w:val="8"/>
              </w:numPr>
              <w:contextualSpacing/>
              <w:ind w:left="35" w:hanging="360"/>
              <w:jc w:val="both"/>
              <w:spacing w:before="0" w:after="60"/>
              <w:widowControl w:val="off"/>
              <w:tabs>
                <w:tab w:val="left" w:pos="406" w:leader="none"/>
                <w:tab w:val="clear" w:pos="708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rFonts w:eastAsia="Calibri"/>
                <w:bCs/>
                <w:sz w:val="24"/>
                <w:szCs w:val="24"/>
                <w:highlight w:val="white"/>
                <w:lang w:val="ru-RU" w:eastAsia="ru-RU" w:bidi="ar-SA"/>
              </w:rPr>
              <w:t xml:space="preserve">Инструкция о пропускном и внутриобъектовом режимах на объектах АО «ДГК»; с обязательным оформлением необходимых нарядов-допусков.</w:t>
            </w:r>
            <w:r>
              <w:rPr>
                <w:rFonts w:eastAsia="Times New Roman" w:cs="Times New Roman"/>
                <w:bCs/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 (Приложение №3 к Техническим требованиям).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63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rFonts w:eastAsia="Calibri"/>
                <w:i/>
                <w:iCs/>
                <w:sz w:val="24"/>
                <w:szCs w:val="24"/>
              </w:rPr>
            </w:pPr>
            <w:r>
              <w:rPr>
                <w:rFonts w:eastAsia="Calibri"/>
                <w:bCs/>
                <w:i/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Более подробно требования к организации работ указаны в проекте договора подряда (в том числе в разделе №2), который включен в состав Документации о закупке</w:t>
            </w:r>
            <w:r>
              <w:rPr>
                <w:rFonts w:eastAsia="Calibri"/>
                <w:i/>
                <w:iCs/>
                <w:sz w:val="24"/>
                <w:szCs w:val="24"/>
              </w:rPr>
            </w:r>
            <w:r>
              <w:rPr>
                <w:rFonts w:eastAsia="Calibri"/>
                <w:i/>
                <w:iCs/>
                <w:sz w:val="24"/>
                <w:szCs w:val="24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863"/>
              <w:widowControl w:val="off"/>
            </w:pPr>
            <w:r/>
            <w:r/>
          </w:p>
        </w:tc>
        <w:tc>
          <w:tcPr>
            <w:tcW w:w="2233" w:type="dxa"/>
            <w:textDirection w:val="lrTb"/>
            <w:noWrap w:val="false"/>
          </w:tcPr>
          <w:p>
            <w:pPr>
              <w:pStyle w:val="995"/>
              <w:numPr>
                <w:ilvl w:val="0"/>
                <w:numId w:val="0"/>
              </w:numPr>
              <w:ind w:left="0" w:firstLine="0"/>
              <w:jc w:val="left"/>
              <w:keepNext w:val="0"/>
              <w:spacing w:before="0" w:after="60"/>
              <w:widowControl w:val="off"/>
              <w:rPr>
                <w:rFonts w:eastAsia="Times New Roman"/>
                <w:b w:val="0"/>
              </w:rPr>
              <w:outlineLvl w:val="2"/>
            </w:pPr>
            <w:r>
              <w:rPr>
                <w:rFonts w:eastAsia="Times New Roman" w:cs="Arial Unicode MS"/>
                <w:b w:val="0"/>
                <w:sz w:val="20"/>
                <w:szCs w:val="20"/>
                <w:lang w:val="ru-RU" w:eastAsia="ru-RU" w:bidi="ar-SA"/>
              </w:rPr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</w:r>
          </w:p>
        </w:tc>
      </w:tr>
      <w:tr>
        <w:tblPrEx/>
        <w:trPr/>
        <w:tc>
          <w:tcPr>
            <w:tcW w:w="743" w:type="dxa"/>
            <w:vAlign w:val="center"/>
            <w:textDirection w:val="lrTb"/>
            <w:noWrap w:val="false"/>
          </w:tcPr>
          <w:p>
            <w:pPr>
              <w:pStyle w:val="980"/>
              <w:numPr>
                <w:ilvl w:val="1"/>
                <w:numId w:val="6"/>
              </w:numPr>
              <w:contextualSpacing/>
              <w:ind w:left="0" w:firstLine="0"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9212" w:type="dxa"/>
            <w:vAlign w:val="center"/>
            <w:textDirection w:val="lrTb"/>
            <w:noWrap w:val="false"/>
          </w:tcPr>
          <w:p>
            <w:pPr>
              <w:pStyle w:val="863"/>
              <w:jc w:val="both"/>
              <w:spacing w:before="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</w:t>
            </w:r>
            <w:r>
              <w:rPr>
                <w:b/>
                <w:sz w:val="24"/>
                <w:szCs w:val="24"/>
                <w:highlight w:val="white"/>
                <w:lang w:val="ru-RU" w:eastAsia="ru-RU" w:bidi="ar-SA"/>
              </w:rPr>
              <w:t xml:space="preserve">к применяемым при выполнении работ материалам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863"/>
              <w:widowControl w:val="off"/>
            </w:pPr>
            <w:r/>
            <w:r/>
          </w:p>
        </w:tc>
        <w:tc>
          <w:tcPr>
            <w:tcW w:w="2233" w:type="dxa"/>
            <w:textDirection w:val="lrTb"/>
            <w:noWrap w:val="false"/>
          </w:tcPr>
          <w:p>
            <w:pPr>
              <w:pStyle w:val="863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43" w:type="dxa"/>
            <w:textDirection w:val="lrTb"/>
            <w:noWrap w:val="false"/>
          </w:tcPr>
          <w:p>
            <w:pPr>
              <w:pStyle w:val="980"/>
              <w:numPr>
                <w:ilvl w:val="2"/>
                <w:numId w:val="6"/>
              </w:numPr>
              <w:contextualSpacing/>
              <w:ind w:left="0" w:firstLine="0"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863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ru-RU" w:eastAsia="ru-RU" w:bidi="ar-SA"/>
              </w:rPr>
              <w:t xml:space="preserve">Требования к используемым запасным частям и материалам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7086" w:type="dxa"/>
            <w:textDirection w:val="lrTb"/>
            <w:noWrap w:val="false"/>
          </w:tcPr>
          <w:p>
            <w:pPr>
              <w:pStyle w:val="863"/>
              <w:numPr>
                <w:ilvl w:val="0"/>
                <w:numId w:val="9"/>
              </w:numPr>
              <w:contextualSpacing/>
              <w:ind w:left="0" w:firstLine="0"/>
              <w:jc w:val="both"/>
              <w:spacing w:before="0" w:after="60"/>
              <w:widowControl w:val="off"/>
              <w:tabs>
                <w:tab w:val="left" w:pos="40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 w:eastAsia="ru-RU" w:bidi="ar-SA"/>
              </w:rPr>
              <w:t xml:space="preserve">Материалы, необходимые для выполнения работ приобретаются Подрядчиком самостоятельно</w:t>
            </w:r>
            <w:r>
              <w:rPr>
                <w:rFonts w:eastAsia="Calibri"/>
                <w:bCs/>
                <w:sz w:val="24"/>
                <w:szCs w:val="24"/>
                <w:highlight w:val="white"/>
                <w:lang w:val="ru-RU" w:eastAsia="ru-RU" w:bidi="ar-SA"/>
              </w:rPr>
              <w:t xml:space="preserve"> в соответствии с приложением №1.1 к настоящим Техническим требованиям</w:t>
            </w:r>
            <w:r>
              <w:rPr>
                <w:rFonts w:eastAsia="Calibri"/>
                <w:bCs/>
                <w:sz w:val="24"/>
                <w:szCs w:val="24"/>
                <w:lang w:val="ru-RU" w:eastAsia="ru-RU" w:bidi="ar-SA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numPr>
                <w:ilvl w:val="0"/>
                <w:numId w:val="9"/>
              </w:numPr>
              <w:contextualSpacing/>
              <w:ind w:left="0" w:firstLine="0"/>
              <w:jc w:val="both"/>
              <w:spacing w:before="0" w:after="60"/>
              <w:widowControl w:val="off"/>
              <w:tabs>
                <w:tab w:val="left" w:pos="40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highlight w:val="white"/>
                <w:lang w:val="ru-RU" w:eastAsia="ru-RU" w:bidi="ar-SA"/>
              </w:rPr>
              <w:t xml:space="preserve">Все применяемые материалы должны быть новыми и не использованными ранее</w:t>
            </w:r>
            <w:r>
              <w:rPr>
                <w:rFonts w:eastAsia="Calibri"/>
                <w:bCs/>
                <w:sz w:val="24"/>
                <w:szCs w:val="24"/>
                <w:lang w:val="ru-RU" w:eastAsia="ru-RU" w:bidi="ar-SA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80"/>
              <w:numPr>
                <w:ilvl w:val="0"/>
                <w:numId w:val="9"/>
              </w:numPr>
              <w:contextualSpacing/>
              <w:ind w:left="0" w:firstLine="0"/>
              <w:jc w:val="both"/>
              <w:spacing w:before="0" w:after="0"/>
              <w:widowControl w:val="off"/>
              <w:tabs>
                <w:tab w:val="left" w:pos="40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highlight w:val="white"/>
                <w:lang w:val="ru-RU" w:eastAsia="ru-RU" w:bidi="ar-SA"/>
              </w:rPr>
              <w:t xml:space="preserve">Подрядчиком в работе могут быть применены эквивалентные материалы*, предварительно согласованные с Заказчиком.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80"/>
              <w:numPr>
                <w:ilvl w:val="0"/>
                <w:numId w:val="9"/>
              </w:numPr>
              <w:contextualSpacing/>
              <w:ind w:left="0" w:firstLine="0"/>
              <w:jc w:val="both"/>
              <w:spacing w:before="0" w:after="0"/>
              <w:widowControl w:val="off"/>
              <w:tabs>
                <w:tab w:val="left" w:pos="40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highlight w:val="white"/>
                <w:lang w:val="ru-RU" w:eastAsia="ru-RU" w:bidi="ar-SA"/>
              </w:rPr>
              <w:t xml:space="preserve">В случае, если на этапе исполнения договора Подрядчиком, вместо материалов конкретных торговых знаков, марок и/или наименований, указанных в технической и сметн</w:t>
            </w:r>
            <w:r>
              <w:rPr>
                <w:bCs/>
                <w:sz w:val="24"/>
                <w:szCs w:val="24"/>
                <w:highlight w:val="white"/>
                <w:lang w:val="ru-RU" w:eastAsia="ru-RU" w:bidi="ar-SA"/>
              </w:rPr>
              <w:t xml:space="preserve">ой документации, будет применяться эквивалентная продукция, Подрядчик принимает на себя все затраты по внесению соответствующих изменений в техническую и сметную документацию, а также согласованию ее с Заказчиком без увеличения общей стоимости по Договору.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both"/>
              <w:spacing w:before="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highlight w:val="white"/>
                <w:lang w:val="ru-RU" w:eastAsia="ru-RU" w:bidi="ar-SA"/>
              </w:rPr>
              <w:t xml:space="preserve">* Эквивалентная продукция - это продукция, которая по техническим и функциональным характеристикам не уступает характеристикам, указанных в перечне материалов Подрядчика и технической документации.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  <w:p>
            <w:pPr>
              <w:pStyle w:val="863"/>
              <w:ind w:firstLine="296"/>
              <w:jc w:val="both"/>
              <w:spacing w:before="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863"/>
              <w:widowControl w:val="off"/>
            </w:pPr>
            <w:r/>
            <w:r/>
          </w:p>
        </w:tc>
        <w:tc>
          <w:tcPr>
            <w:tcW w:w="2233" w:type="dxa"/>
            <w:textDirection w:val="lrTb"/>
            <w:noWrap w:val="false"/>
          </w:tcPr>
          <w:p>
            <w:pPr>
              <w:pStyle w:val="863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95"/>
              <w:numPr>
                <w:ilvl w:val="0"/>
                <w:numId w:val="0"/>
              </w:numPr>
              <w:ind w:left="0" w:firstLine="0"/>
              <w:jc w:val="left"/>
              <w:keepNext w:val="0"/>
              <w:spacing w:before="0" w:after="60"/>
              <w:widowControl w:val="off"/>
              <w:rPr>
                <w:rFonts w:eastAsia="Times New Roman"/>
                <w:b w:val="0"/>
                <w:bCs/>
              </w:rPr>
              <w:outlineLvl w:val="2"/>
            </w:pPr>
            <w:r>
              <w:rPr>
                <w:rFonts w:eastAsia="Times New Roman" w:cs="Arial Unicode MS"/>
                <w:b w:val="0"/>
                <w:bCs/>
                <w:sz w:val="20"/>
                <w:szCs w:val="20"/>
                <w:lang w:val="ru-RU" w:eastAsia="ru-RU" w:bidi="ar-SA"/>
              </w:rPr>
            </w:r>
            <w:r>
              <w:rPr>
                <w:rFonts w:eastAsia="Times New Roman"/>
                <w:b w:val="0"/>
                <w:bCs/>
              </w:rPr>
            </w:r>
            <w:r>
              <w:rPr>
                <w:rFonts w:eastAsia="Times New Roman"/>
                <w:b w:val="0"/>
                <w:bCs/>
              </w:rPr>
            </w:r>
          </w:p>
        </w:tc>
      </w:tr>
      <w:tr>
        <w:tblPrEx/>
        <w:trPr/>
        <w:tc>
          <w:tcPr>
            <w:tcW w:w="743" w:type="dxa"/>
            <w:vAlign w:val="center"/>
            <w:textDirection w:val="lrTb"/>
            <w:noWrap w:val="false"/>
          </w:tcPr>
          <w:p>
            <w:pPr>
              <w:pStyle w:val="980"/>
              <w:numPr>
                <w:ilvl w:val="1"/>
                <w:numId w:val="6"/>
              </w:numPr>
              <w:contextualSpacing/>
              <w:ind w:left="0" w:firstLine="0"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9212" w:type="dxa"/>
            <w:vAlign w:val="center"/>
            <w:textDirection w:val="lrTb"/>
            <w:noWrap w:val="false"/>
          </w:tcPr>
          <w:p>
            <w:pPr>
              <w:pStyle w:val="863"/>
              <w:jc w:val="both"/>
              <w:spacing w:before="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  <w:lang w:val="ru-RU" w:eastAsia="ru-RU" w:bidi="ar-SA"/>
              </w:rPr>
              <w:t xml:space="preserve">Требования к контролю качества работ и материалов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863"/>
              <w:widowControl w:val="off"/>
            </w:pPr>
            <w:r/>
            <w:r/>
          </w:p>
        </w:tc>
        <w:tc>
          <w:tcPr>
            <w:tcW w:w="2233" w:type="dxa"/>
            <w:textDirection w:val="lrTb"/>
            <w:noWrap w:val="false"/>
          </w:tcPr>
          <w:p>
            <w:pPr>
              <w:pStyle w:val="863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43" w:type="dxa"/>
            <w:textDirection w:val="lrTb"/>
            <w:noWrap w:val="false"/>
          </w:tcPr>
          <w:p>
            <w:pPr>
              <w:pStyle w:val="980"/>
              <w:numPr>
                <w:ilvl w:val="2"/>
                <w:numId w:val="6"/>
              </w:numPr>
              <w:contextualSpacing/>
              <w:ind w:left="0" w:firstLine="0"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863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  <w:highlight w:val="white"/>
                <w:lang w:val="ru-RU" w:eastAsia="ru-RU" w:bidi="ar-SA"/>
              </w:rPr>
              <w:t xml:space="preserve">Контроль качества используемых материалов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7086" w:type="dxa"/>
            <w:textDirection w:val="lrTb"/>
            <w:noWrap w:val="false"/>
          </w:tcPr>
          <w:p>
            <w:pPr>
              <w:pStyle w:val="863"/>
              <w:jc w:val="both"/>
              <w:spacing w:before="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  <w:lang w:val="ru-RU" w:eastAsia="ru-RU" w:bidi="ar-SA"/>
              </w:rPr>
              <w:t xml:space="preserve">Материалы Подрядчика должны иметь сертификаты, паспорта и другие документы, подтверждающие их качество.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При осуществлении Подрядчиком входного контроля качества строительных материалов и изделий, поступивших на ремонтную площадку, об</w:t>
            </w:r>
            <w:r>
              <w:rPr>
                <w:bCs/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язательное наличие и ведение журнала входного учета и контроля качества получаемых материалов. Отсутствие записи о приемке материалов в данном журнале дает основание Заказчику в отказе приемки выполненных работ с использованием соответствующих материалов.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ind w:firstLine="456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highlight w:val="white"/>
                <w:lang w:val="ru-RU" w:eastAsia="ru-RU" w:bidi="ar-SA"/>
              </w:rPr>
              <w:t xml:space="preserve">Более Подробно требования указаны в проекте договора подряда (в том числе в разделе №2), который включен в состав Документации о закупке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pStyle w:val="863"/>
              <w:jc w:val="both"/>
              <w:spacing w:before="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863"/>
              <w:widowControl w:val="off"/>
            </w:pPr>
            <w:r/>
            <w:r/>
          </w:p>
        </w:tc>
        <w:tc>
          <w:tcPr>
            <w:tcW w:w="2233" w:type="dxa"/>
            <w:textDirection w:val="lrTb"/>
            <w:noWrap w:val="false"/>
          </w:tcPr>
          <w:p>
            <w:pPr>
              <w:pStyle w:val="863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396"/>
        </w:trPr>
        <w:tc>
          <w:tcPr>
            <w:tcW w:w="743" w:type="dxa"/>
            <w:textDirection w:val="lrTb"/>
            <w:noWrap w:val="false"/>
          </w:tcPr>
          <w:p>
            <w:pPr>
              <w:pStyle w:val="980"/>
              <w:numPr>
                <w:ilvl w:val="2"/>
                <w:numId w:val="6"/>
              </w:numPr>
              <w:contextualSpacing/>
              <w:ind w:left="0" w:firstLine="0"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863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  <w:highlight w:val="white"/>
                <w:lang w:val="ru-RU" w:eastAsia="ru-RU" w:bidi="ar-SA"/>
              </w:rPr>
              <w:t xml:space="preserve">Требования к контролю качества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7086" w:type="dxa"/>
            <w:textDirection w:val="lrTb"/>
            <w:noWrap w:val="false"/>
          </w:tcPr>
          <w:p>
            <w:pPr>
              <w:pStyle w:val="863"/>
              <w:jc w:val="both"/>
              <w:spacing w:before="0" w:after="60"/>
              <w:widowControl w:val="off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Работы должны быть выполнены в полном соответствии с требованиями государственных стандартов, действующих строительных норм и правил, ПУЭ, НПБ, технических регламентов, санитарных норм и правил</w:t>
            </w:r>
            <w:r>
              <w:rPr>
                <w:bCs/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both"/>
              <w:spacing w:before="0" w:after="60"/>
              <w:widowControl w:val="off"/>
              <w:rPr>
                <w:bCs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highlight w:val="white"/>
                <w:lang w:val="ru-RU" w:eastAsia="ru-RU" w:bidi="ar-SA"/>
              </w:rPr>
              <w:t xml:space="preserve">Подробно указаны в проекте договора подряда (в том числе в разделе №2), который включен в состав Документации о закупке 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pStyle w:val="863"/>
              <w:jc w:val="both"/>
              <w:spacing w:before="0" w:after="0"/>
              <w:widowControl w:val="off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863"/>
              <w:widowControl w:val="off"/>
            </w:pPr>
            <w:r/>
            <w:r/>
          </w:p>
        </w:tc>
        <w:tc>
          <w:tcPr>
            <w:tcW w:w="2233" w:type="dxa"/>
            <w:textDirection w:val="lrTb"/>
            <w:noWrap w:val="false"/>
          </w:tcPr>
          <w:p>
            <w:pPr>
              <w:pStyle w:val="863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743" w:type="dxa"/>
            <w:textDirection w:val="lrTb"/>
            <w:noWrap w:val="false"/>
          </w:tcPr>
          <w:p>
            <w:pPr>
              <w:pStyle w:val="980"/>
              <w:numPr>
                <w:ilvl w:val="1"/>
                <w:numId w:val="6"/>
              </w:numPr>
              <w:contextualSpacing/>
              <w:ind w:left="0" w:firstLine="0"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9212" w:type="dxa"/>
            <w:vAlign w:val="center"/>
            <w:textDirection w:val="lrTb"/>
            <w:noWrap w:val="false"/>
          </w:tcPr>
          <w:p>
            <w:pPr>
              <w:pStyle w:val="863"/>
              <w:jc w:val="both"/>
              <w:spacing w:before="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  <w:lang w:val="ru-RU" w:eastAsia="ru-RU" w:bidi="ar-SA"/>
              </w:rPr>
              <w:t xml:space="preserve">Требования к персоналу подрядчика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863"/>
              <w:widowControl w:val="off"/>
            </w:pPr>
            <w:r/>
            <w:r/>
          </w:p>
        </w:tc>
        <w:tc>
          <w:tcPr>
            <w:tcW w:w="2233" w:type="dxa"/>
            <w:textDirection w:val="lrTb"/>
            <w:noWrap w:val="false"/>
          </w:tcPr>
          <w:p>
            <w:pPr>
              <w:pStyle w:val="863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743" w:type="dxa"/>
            <w:textDirection w:val="lrTb"/>
            <w:noWrap w:val="false"/>
          </w:tcPr>
          <w:p>
            <w:pPr>
              <w:pStyle w:val="980"/>
              <w:contextualSpacing/>
              <w:ind w:left="0" w:firstLine="0"/>
              <w:jc w:val="left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1.5.1.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995"/>
              <w:numPr>
                <w:ilvl w:val="0"/>
                <w:numId w:val="0"/>
              </w:numPr>
              <w:ind w:left="0" w:firstLine="0"/>
              <w:jc w:val="left"/>
              <w:keepNext w:val="0"/>
              <w:spacing w:before="0" w:after="60"/>
              <w:widowControl w:val="off"/>
              <w:rPr>
                <w:bCs/>
                <w:sz w:val="24"/>
                <w:szCs w:val="24"/>
              </w:rPr>
              <w:outlineLvl w:val="2"/>
            </w:pPr>
            <w:r>
              <w:rPr>
                <w:rFonts w:eastAsia="Noto Serif CJK SC" w:cs="Arial Unicode MS"/>
                <w:b w:val="0"/>
                <w:i/>
                <w:sz w:val="24"/>
                <w:szCs w:val="24"/>
                <w:lang w:val="ru-RU" w:eastAsia="ru-RU" w:bidi="ar-SA"/>
              </w:rPr>
              <w:t xml:space="preserve">Квалификация персонала подрядчика, привлекаемого к выполнению работ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7086" w:type="dxa"/>
            <w:textDirection w:val="lrTb"/>
            <w:noWrap w:val="false"/>
          </w:tcPr>
          <w:p>
            <w:pPr>
              <w:pStyle w:val="863"/>
              <w:ind w:firstLine="0"/>
              <w:jc w:val="both"/>
              <w:spacing w:before="0" w:beforeAutospacing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  <w:lang w:val="ru-RU" w:eastAsia="ru-RU" w:bidi="ar-SA"/>
              </w:rPr>
              <w:t xml:space="preserve">Подрядчик должен иметь минимально необходимое для выполнения </w:t>
            </w:r>
            <w:r>
              <w:rPr>
                <w:sz w:val="24"/>
                <w:szCs w:val="24"/>
                <w:highlight w:val="white"/>
                <w:lang w:val="ru-RU" w:eastAsia="ru-RU" w:bidi="ar-SA"/>
              </w:rPr>
              <w:t xml:space="preserve">работ количество квалифицированного персонала (оформленного в соответствии с Гражданским Кодексом Российской Федерации или привлекаемого по трудовым либо гражданско-правовым договорам, либо планируемого к привлечению, в том числе по договорам субподряда), </w:t>
            </w:r>
            <w:r>
              <w:rPr>
                <w:sz w:val="24"/>
                <w:szCs w:val="24"/>
                <w:lang w:val="ru-RU" w:eastAsia="ru-RU" w:bidi="ar-SA"/>
              </w:rPr>
              <w:t xml:space="preserve">при этом численность минимально привлекаемого персонала приведена экспертно, исходя из объемов и видов работ).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ind w:firstLine="0"/>
              <w:jc w:val="both"/>
              <w:spacing w:before="0" w:beforeAutospacing="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До начала проведения работ в рамках исполнения договора после его заключения подрядчик предоставляет: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80"/>
              <w:numPr>
                <w:ilvl w:val="0"/>
                <w:numId w:val="10"/>
              </w:numPr>
              <w:contextualSpacing/>
              <w:ind w:left="34" w:firstLine="0"/>
              <w:jc w:val="both"/>
              <w:spacing w:before="0" w:beforeAutospacing="0" w:after="0"/>
              <w:widowControl w:val="off"/>
              <w:tabs>
                <w:tab w:val="left" w:pos="318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список персонала с указа</w:t>
            </w:r>
            <w:r>
              <w:rPr>
                <w:bCs/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нием сведений о квалификации персонала, разряде и группе по электробезопасности с приложением копий удостоверений на производство специальных видов работ (огневых, грузоподъемных, работ с электро - и пневмоинструментом) (возможно совмещение специальностей)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80"/>
              <w:numPr>
                <w:ilvl w:val="0"/>
                <w:numId w:val="11"/>
              </w:numPr>
              <w:contextualSpacing/>
              <w:ind w:left="32" w:firstLine="0"/>
              <w:jc w:val="both"/>
              <w:spacing w:before="0" w:beforeAutospacing="0" w:after="0"/>
              <w:shd w:val="clear" w:color="fefefe" w:fill="fefefe"/>
              <w:widowControl w:val="off"/>
              <w:tabs>
                <w:tab w:val="left" w:pos="421" w:leader="none"/>
                <w:tab w:val="clear" w:pos="708" w:leader="none"/>
              </w:tabs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bCs/>
                <w:iCs/>
                <w:color w:val="000000" w:themeColor="text1"/>
                <w:sz w:val="24"/>
                <w:szCs w:val="24"/>
                <w:lang w:val="ru-RU" w:eastAsia="ru-RU" w:bidi="ar-SA"/>
              </w:rPr>
              <w:t xml:space="preserve">свидетельства (заверенную копию) о готовности организации-заявителя к использованию аттестованной технологии сварки в соответствии приказом Ростехнадзора № 519 от 1</w:t>
            </w:r>
            <w:r>
              <w:rPr>
                <w:bCs/>
                <w:iCs/>
                <w:color w:val="000000" w:themeColor="text1"/>
                <w:sz w:val="24"/>
                <w:szCs w:val="24"/>
                <w:lang w:val="ru-RU" w:eastAsia="ru-RU" w:bidi="ar-SA"/>
              </w:rPr>
              <w:t xml:space="preserve">1.12.2020 (в редакции, введенной в действие приказом Ростехнадзора от 03 февраля 2023 года № 44.) об утверждении федеральных норм и правил в области промышленной безопасности “Требования к производству сварочных работ на опасных производственных объектах”.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863"/>
              <w:ind w:firstLine="0"/>
              <w:jc w:val="both"/>
              <w:spacing w:before="0" w:beforeAutospacing="0" w:after="0"/>
              <w:shd w:val="clear" w:color="fefefe" w:fill="fefefe"/>
              <w:widowControl w:val="off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lang w:val="ru-RU" w:eastAsia="ru-RU" w:bidi="ar-SA"/>
              </w:rPr>
              <w:t xml:space="preserve">а) свидетельство НАКС об аттестации сварочного оборудования;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863"/>
              <w:ind w:firstLine="0"/>
              <w:jc w:val="both"/>
              <w:spacing w:before="0" w:beforeAutospacing="0" w:after="0"/>
              <w:shd w:val="clear" w:color="fefefe" w:fill="fefefe"/>
              <w:widowControl w:val="off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lang w:val="ru-RU" w:eastAsia="ru-RU" w:bidi="ar-SA"/>
              </w:rPr>
              <w:t xml:space="preserve">б) аттестационные удостоверения НАКС для сварщиков: КО 2;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863"/>
              <w:ind w:firstLine="0"/>
              <w:jc w:val="both"/>
              <w:spacing w:before="0" w:beforeAutospacing="0" w:after="0"/>
              <w:shd w:val="clear" w:color="fefefe" w:fill="fefefe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i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lang w:val="ru-RU" w:eastAsia="ru-RU" w:bidi="ar-SA"/>
              </w:rPr>
              <w:t xml:space="preserve">в) аттестационные удостоверения НАКС специалистов сварочного производства СК1.</w:t>
            </w:r>
            <w:r>
              <w:rPr>
                <w:bCs/>
                <w:i/>
                <w:sz w:val="24"/>
                <w:szCs w:val="24"/>
                <w:highlight w:val="none"/>
              </w:rPr>
            </w:r>
            <w:r>
              <w:rPr>
                <w:bCs/>
                <w:i/>
                <w:sz w:val="24"/>
                <w:szCs w:val="24"/>
                <w:highlight w:val="none"/>
              </w:rPr>
            </w:r>
          </w:p>
          <w:p>
            <w:pPr>
              <w:pStyle w:val="863"/>
              <w:jc w:val="both"/>
              <w:spacing w:before="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863"/>
              <w:widowControl w:val="off"/>
            </w:pPr>
            <w:r/>
            <w:r/>
          </w:p>
        </w:tc>
        <w:tc>
          <w:tcPr>
            <w:tcW w:w="2233" w:type="dxa"/>
            <w:textDirection w:val="lrTb"/>
            <w:noWrap w:val="false"/>
          </w:tcPr>
          <w:p>
            <w:pPr>
              <w:pStyle w:val="863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108"/>
        </w:trPr>
        <w:tc>
          <w:tcPr>
            <w:tcW w:w="743" w:type="dxa"/>
            <w:textDirection w:val="lrTb"/>
            <w:noWrap w:val="false"/>
          </w:tcPr>
          <w:p>
            <w:pPr>
              <w:pStyle w:val="980"/>
              <w:contextualSpacing/>
              <w:ind w:left="0" w:firstLine="0"/>
              <w:jc w:val="left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1.6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9212" w:type="dxa"/>
            <w:vAlign w:val="center"/>
            <w:textDirection w:val="lrTb"/>
            <w:noWrap w:val="false"/>
          </w:tcPr>
          <w:p>
            <w:pPr>
              <w:pStyle w:val="863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highlight w:val="white"/>
                <w:lang w:val="ru-RU" w:eastAsia="ru-RU" w:bidi="ar-SA"/>
              </w:rPr>
              <w:t xml:space="preserve">Требования к безопасности работ и охране труда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7" w:type="dxa"/>
            <w:vAlign w:val="center"/>
            <w:textDirection w:val="lrTb"/>
            <w:noWrap w:val="false"/>
          </w:tcPr>
          <w:p>
            <w:pPr>
              <w:pStyle w:val="863"/>
              <w:widowControl w:val="off"/>
            </w:pPr>
            <w:r/>
            <w:r/>
          </w:p>
        </w:tc>
        <w:tc>
          <w:tcPr>
            <w:tcW w:w="2233" w:type="dxa"/>
            <w:vAlign w:val="center"/>
            <w:textDirection w:val="lrTb"/>
            <w:noWrap w:val="false"/>
          </w:tcPr>
          <w:p>
            <w:pPr>
              <w:pStyle w:val="863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336"/>
        </w:trPr>
        <w:tc>
          <w:tcPr>
            <w:tcW w:w="743" w:type="dxa"/>
            <w:textDirection w:val="lrTb"/>
            <w:noWrap w:val="false"/>
          </w:tcPr>
          <w:p>
            <w:pPr>
              <w:pStyle w:val="980"/>
              <w:contextualSpacing/>
              <w:ind w:left="0" w:firstLine="0"/>
              <w:jc w:val="left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1.6.1.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863"/>
              <w:numPr>
                <w:ilvl w:val="0"/>
                <w:numId w:val="0"/>
              </w:numPr>
              <w:ind w:left="0" w:firstLine="0"/>
              <w:jc w:val="left"/>
              <w:spacing w:before="60" w:after="60"/>
              <w:widowControl w:val="off"/>
              <w:rPr>
                <w:sz w:val="24"/>
                <w:szCs w:val="24"/>
              </w:rPr>
              <w:outlineLvl w:val="2"/>
            </w:pPr>
            <w:r>
              <w:rPr>
                <w:rFonts w:eastAsia="Calibri"/>
                <w:i/>
                <w:sz w:val="24"/>
                <w:szCs w:val="24"/>
                <w:highlight w:val="white"/>
                <w:lang w:val="ru-RU" w:eastAsia="ru-RU" w:bidi="ar-SA"/>
              </w:rPr>
              <w:t xml:space="preserve">Требования к безопасности выполняемых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left"/>
              <w:spacing w:before="0" w:after="0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7086" w:type="dxa"/>
            <w:textDirection w:val="lrTb"/>
            <w:noWrap w:val="false"/>
          </w:tcPr>
          <w:p>
            <w:pPr>
              <w:pStyle w:val="863"/>
              <w:ind w:firstLine="283"/>
              <w:jc w:val="both"/>
              <w:spacing w:before="0" w:after="0"/>
              <w:widowControl w:val="off"/>
              <w:tabs>
                <w:tab w:val="left" w:pos="567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Меры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80"/>
              <w:numPr>
                <w:ilvl w:val="0"/>
                <w:numId w:val="12"/>
              </w:numPr>
              <w:contextualSpacing/>
              <w:ind w:left="62" w:firstLine="0"/>
              <w:jc w:val="both"/>
              <w:spacing w:before="0" w:after="0"/>
              <w:widowControl w:val="off"/>
              <w:tabs>
                <w:tab w:val="left" w:pos="182" w:leader="none"/>
                <w:tab w:val="left" w:pos="413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СНиП 12-03-2001 «Безопасность труда в строительстве» Часть 1. Общие требования. Приняты и введены в действие Постановлением Госстроя РФ от 23.07.2001 г. №80;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СО 34.03.201-97 (РД 34.03.201-97) Правила техники безопасности при эксплуатации тепломеханического оборудования электростанций и тепловых сетей.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left"/>
              <w:spacing w:before="0" w:after="0"/>
              <w:widowControl w:val="off"/>
              <w:rPr>
                <w:bCs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ru-RU" w:eastAsia="ru-RU" w:bidi="ar-SA"/>
              </w:rPr>
              <w:t xml:space="preserve">Более подробно требования указаны в проекте договора подряда (в том числе в разделе №2), </w:t>
            </w:r>
            <w:r>
              <w:rPr>
                <w:i/>
                <w:sz w:val="24"/>
                <w:szCs w:val="24"/>
                <w:highlight w:val="white"/>
                <w:lang w:val="ru-RU" w:eastAsia="ru-RU" w:bidi="ar-SA"/>
              </w:rPr>
              <w:t xml:space="preserve">который включен в состав Документации о закупке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863"/>
              <w:widowControl w:val="off"/>
            </w:pPr>
            <w:r/>
            <w:r/>
          </w:p>
        </w:tc>
        <w:tc>
          <w:tcPr>
            <w:tcW w:w="2233" w:type="dxa"/>
            <w:textDirection w:val="lrTb"/>
            <w:noWrap w:val="false"/>
          </w:tcPr>
          <w:p>
            <w:pPr>
              <w:pStyle w:val="863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336"/>
        </w:trPr>
        <w:tc>
          <w:tcPr>
            <w:tcW w:w="743" w:type="dxa"/>
            <w:textDirection w:val="lrTb"/>
            <w:noWrap w:val="false"/>
          </w:tcPr>
          <w:p>
            <w:pPr>
              <w:pStyle w:val="980"/>
              <w:contextualSpacing/>
              <w:ind w:left="0" w:firstLine="0"/>
              <w:jc w:val="left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1.6.2.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863"/>
              <w:numPr>
                <w:ilvl w:val="0"/>
                <w:numId w:val="0"/>
              </w:numPr>
              <w:ind w:left="0" w:firstLine="0"/>
              <w:jc w:val="left"/>
              <w:spacing w:before="60" w:after="60"/>
              <w:widowControl w:val="off"/>
              <w:rPr>
                <w:sz w:val="24"/>
                <w:szCs w:val="24"/>
              </w:rPr>
              <w:outlineLvl w:val="2"/>
            </w:pPr>
            <w:r>
              <w:rPr>
                <w:rFonts w:eastAsia="Calibri"/>
                <w:i/>
                <w:sz w:val="24"/>
                <w:szCs w:val="24"/>
                <w:highlight w:val="white"/>
                <w:lang w:val="ru-RU" w:eastAsia="ru-RU" w:bidi="ar-SA"/>
              </w:rPr>
              <w:t xml:space="preserve">Соблюдение требований к пожарной безопасности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numPr>
                <w:ilvl w:val="0"/>
                <w:numId w:val="0"/>
              </w:numPr>
              <w:ind w:left="0" w:firstLine="0"/>
              <w:jc w:val="left"/>
              <w:spacing w:before="60" w:after="60"/>
              <w:widowControl w:val="off"/>
              <w:rPr>
                <w:rFonts w:eastAsia="Calibri"/>
                <w:sz w:val="24"/>
                <w:szCs w:val="24"/>
                <w:highlight w:val="white"/>
              </w:rPr>
              <w:outlineLvl w:val="2"/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7086" w:type="dxa"/>
            <w:textDirection w:val="lrTb"/>
            <w:noWrap w:val="false"/>
          </w:tcPr>
          <w:p>
            <w:pPr>
              <w:pStyle w:val="863"/>
              <w:ind w:firstLine="283"/>
              <w:jc w:val="both"/>
              <w:spacing w:before="0" w:after="0"/>
              <w:widowControl w:val="off"/>
              <w:tabs>
                <w:tab w:val="left" w:pos="567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Меры пожарной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both"/>
              <w:spacing w:before="0" w:after="0"/>
              <w:shd w:val="clear" w:color="auto" w:fill="ffffff"/>
              <w:widowControl w:val="off"/>
              <w:tabs>
                <w:tab w:val="left" w:pos="360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 Правила противопожарного режима в Российской Федерации, утверждены Постановлением Правительства РФ от 16.09.2020 № 1479;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both"/>
              <w:spacing w:before="0" w:after="0"/>
              <w:shd w:val="clear" w:color="auto" w:fill="ffffff"/>
              <w:widowControl w:val="off"/>
              <w:tabs>
                <w:tab w:val="left" w:pos="360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 №123-ФЗ от 22.07.2008 «Технический регламент о требованиях пожарной безопасности»;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both"/>
              <w:spacing w:before="0" w:after="0"/>
              <w:shd w:val="clear" w:color="auto" w:fill="ffffff"/>
              <w:widowControl w:val="off"/>
              <w:tabs>
                <w:tab w:val="left" w:pos="360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 СО 22.1-04-16 Стандарт АО «ДГК». Пожарная безопасность энергопредприятия. Общие требования</w:t>
            </w:r>
            <w:r>
              <w:rPr>
                <w:i/>
                <w:sz w:val="24"/>
                <w:szCs w:val="24"/>
                <w:lang w:val="ru-RU" w:eastAsia="ru-RU" w:bidi="ar-SA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 ГОСТ 12.1.004-91* Система стандартов безопасности труда. Пожарная безопасность. Общие требования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ind w:firstLine="709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При выполнении работ дополнительно необходимо соблюдать требования объектовых (производственных) инструкций, пожарные и санитарные нормы, правила охраны труда, действующие на предприятии Заказчика.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contextualSpacing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Приказом по организации должно быть назначено лицо, ответственное за соблюдение требований пожарной безопасности на строительной площадке и в местах производства работ.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contextualSpacing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Персональную ответственность за обеспечение пожарной безопасности несёт руководитель подрядной организации или лицо, его замещающее.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contextualSpacing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Ремонтная площадка должна быть оснащена средствами пожаротушения.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80"/>
              <w:contextualSpacing/>
              <w:ind w:left="0" w:firstLine="0"/>
              <w:jc w:val="both"/>
              <w:spacing w:before="0" w:after="0"/>
              <w:widowControl w:val="off"/>
              <w:tabs>
                <w:tab w:val="left" w:pos="25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ru-RU" w:eastAsia="ru-RU" w:bidi="ar-SA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both"/>
              <w:spacing w:before="0" w:after="0"/>
              <w:widowControl w:val="off"/>
              <w:tabs>
                <w:tab w:val="left" w:pos="567" w:leader="none"/>
                <w:tab w:val="clear" w:pos="708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863"/>
              <w:widowControl w:val="off"/>
            </w:pPr>
            <w:r/>
            <w:r/>
          </w:p>
        </w:tc>
        <w:tc>
          <w:tcPr>
            <w:tcW w:w="2233" w:type="dxa"/>
            <w:textDirection w:val="lrTb"/>
            <w:noWrap w:val="false"/>
          </w:tcPr>
          <w:p>
            <w:pPr>
              <w:pStyle w:val="863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336"/>
        </w:trPr>
        <w:tc>
          <w:tcPr>
            <w:tcW w:w="743" w:type="dxa"/>
            <w:textDirection w:val="lrTb"/>
            <w:noWrap w:val="false"/>
          </w:tcPr>
          <w:p>
            <w:pPr>
              <w:pStyle w:val="980"/>
              <w:contextualSpacing/>
              <w:ind w:left="0" w:firstLine="0"/>
              <w:jc w:val="left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1.6.3.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863"/>
              <w:numPr>
                <w:ilvl w:val="0"/>
                <w:numId w:val="0"/>
              </w:numPr>
              <w:ind w:left="0" w:firstLine="0"/>
              <w:jc w:val="left"/>
              <w:spacing w:before="60" w:after="60"/>
              <w:widowControl w:val="off"/>
              <w:rPr>
                <w:sz w:val="24"/>
                <w:szCs w:val="24"/>
              </w:rPr>
              <w:outlineLvl w:val="2"/>
            </w:pPr>
            <w:r>
              <w:rPr>
                <w:rFonts w:eastAsia="Calibri"/>
                <w:i/>
                <w:sz w:val="24"/>
                <w:szCs w:val="24"/>
                <w:highlight w:val="white"/>
                <w:lang w:val="ru-RU" w:eastAsia="ru-RU" w:bidi="ar-SA"/>
              </w:rPr>
              <w:t xml:space="preserve">Соблюдение требований к охране окружающей среды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numPr>
                <w:ilvl w:val="0"/>
                <w:numId w:val="0"/>
              </w:numPr>
              <w:ind w:left="0" w:firstLine="0"/>
              <w:jc w:val="left"/>
              <w:spacing w:before="60" w:after="60"/>
              <w:widowControl w:val="off"/>
              <w:rPr>
                <w:rFonts w:eastAsia="Calibri"/>
                <w:sz w:val="24"/>
                <w:szCs w:val="24"/>
                <w:highlight w:val="white"/>
              </w:rPr>
              <w:outlineLvl w:val="2"/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7086" w:type="dxa"/>
            <w:textDirection w:val="lrTb"/>
            <w:noWrap w:val="false"/>
          </w:tcPr>
          <w:p>
            <w:pPr>
              <w:pStyle w:val="863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При выполнении всех строительных работ необходимо строго соблюдать требования защиты окружающей среды, сохранения её устойчивого равновесия и не нарушать условия землепользования, установленные законодательством об охране природы.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Отходы, строительный мусор должны своевременно вывозиться для дальнейшей утилизации.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contextualSpacing/>
              <w:ind w:right="225" w:firstLine="0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Мероприятия и работы по охране окружающей среды вести в соответствии: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contextualSpacing/>
              <w:ind w:right="225" w:firstLine="0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- Федеральный закон от 10.01.2002 № 7-ФЗ «Об охране окружающей среды» (ред. от 02.07.21);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 "Правила безопасности опасных производственных объектов, на которых используются подъемные сооружения". Утверждено приказом Ростехнадзора №461 от 26.11.2020г.;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contextualSpacing/>
              <w:ind w:right="225" w:firstLine="0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- Федеральный закон от 04.05.1999 № 96-ФЗ «Об охране атмосферного воздуха» (в ред.от 08.08.2024);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contextualSpacing/>
              <w:ind w:right="225" w:firstLine="0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- Водный кодекс Российской Федерации;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contextualSpacing/>
              <w:ind w:right="225" w:firstLine="0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- </w:t>
            </w:r>
            <w:r>
              <w:rPr>
                <w:rFonts w:eastAsia="Times New Roman" w:cs="Times New Roman"/>
                <w:b w:val="0"/>
                <w:bCs w:val="0"/>
                <w:color w:val="000000"/>
                <w:sz w:val="24"/>
                <w:szCs w:val="24"/>
                <w:lang w:val="ru-RU" w:eastAsia="ru-RU" w:bidi="ar-SA"/>
              </w:rPr>
              <w:t xml:space="preserve">"СП 34.13330.2021. Свод правил. Автомобильные дороги. СНиП 2.05.02-85*"</w:t>
            </w:r>
            <w:r>
              <w:rPr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ind w:firstLine="283"/>
              <w:jc w:val="both"/>
              <w:spacing w:before="0" w:after="0"/>
              <w:widowControl w:val="off"/>
              <w:tabs>
                <w:tab w:val="left" w:pos="567" w:leader="none"/>
                <w:tab w:val="clear" w:pos="708" w:leader="none"/>
              </w:tabs>
              <w:rPr>
                <w:bCs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ru-RU" w:eastAsia="ru-RU" w:bidi="ar-SA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</w:t>
            </w:r>
            <w:r>
              <w:rPr>
                <w:i/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.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pStyle w:val="863"/>
              <w:jc w:val="both"/>
              <w:spacing w:before="0" w:after="0"/>
              <w:widowControl w:val="off"/>
              <w:tabs>
                <w:tab w:val="left" w:pos="567" w:leader="none"/>
                <w:tab w:val="clear" w:pos="708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863"/>
              <w:widowControl w:val="off"/>
            </w:pPr>
            <w:r/>
            <w:r/>
          </w:p>
        </w:tc>
        <w:tc>
          <w:tcPr>
            <w:tcW w:w="2233" w:type="dxa"/>
            <w:textDirection w:val="lrTb"/>
            <w:noWrap w:val="false"/>
          </w:tcPr>
          <w:p>
            <w:pPr>
              <w:pStyle w:val="863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336"/>
        </w:trPr>
        <w:tc>
          <w:tcPr>
            <w:tcW w:w="743" w:type="dxa"/>
            <w:textDirection w:val="lrTb"/>
            <w:noWrap w:val="false"/>
          </w:tcPr>
          <w:p>
            <w:pPr>
              <w:pStyle w:val="980"/>
              <w:contextualSpacing/>
              <w:ind w:left="0" w:firstLine="0"/>
              <w:jc w:val="left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1.6.4.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863"/>
              <w:numPr>
                <w:ilvl w:val="0"/>
                <w:numId w:val="0"/>
              </w:numPr>
              <w:ind w:left="0" w:firstLine="0"/>
              <w:jc w:val="left"/>
              <w:spacing w:before="60" w:after="60"/>
              <w:widowControl w:val="off"/>
              <w:rPr>
                <w:sz w:val="24"/>
                <w:szCs w:val="24"/>
              </w:rPr>
              <w:outlineLvl w:val="2"/>
            </w:pPr>
            <w:r>
              <w:rPr>
                <w:rFonts w:eastAsia="Calibri"/>
                <w:i/>
                <w:sz w:val="24"/>
                <w:szCs w:val="24"/>
                <w:highlight w:val="white"/>
                <w:lang w:val="ru-RU" w:eastAsia="ru-RU" w:bidi="ar-SA"/>
              </w:rPr>
              <w:t xml:space="preserve">Соблюдение требований охраны труда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086" w:type="dxa"/>
            <w:textDirection w:val="lrTb"/>
            <w:noWrap w:val="false"/>
          </w:tcPr>
          <w:p>
            <w:pPr>
              <w:pStyle w:val="863"/>
              <w:ind w:firstLine="430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Контроль по соблюдению требований охраны труда осуществляется Подрядчиком и Заказчиком. Заказчик обязуется назначить куратора и обеспечить допуск персонала подрядчика к месту проведения ремонтных работ.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ind w:firstLine="430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Ознакомить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внутриобъектового режима Заказчика.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ind w:firstLine="430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Организация ремонтной площадки, участков работ и рабочих мест должна обеспечивать безопасность труда работающих на всех этапах выполнения строительно-монтажных работ. Для производства работ в охранной зоне необходимо получить наряд-допуск.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ind w:firstLine="283"/>
              <w:jc w:val="both"/>
              <w:spacing w:before="0" w:after="0"/>
              <w:widowControl w:val="off"/>
              <w:tabs>
                <w:tab w:val="left" w:pos="567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Меры по соблюдению требований охраны труда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numPr>
                <w:ilvl w:val="0"/>
                <w:numId w:val="13"/>
              </w:numPr>
              <w:ind w:left="62" w:firstLine="0"/>
              <w:jc w:val="both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Правилах по охране труда при работе с инструментом и приспособлениями (утверждены приказом Министерства труда от 27.11.2020 № 835н);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numPr>
                <w:ilvl w:val="0"/>
                <w:numId w:val="13"/>
              </w:numPr>
              <w:ind w:left="62" w:firstLine="0"/>
              <w:jc w:val="both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Правилах по охране труда при размещении, монтаже, техническом обслуживании и ремонте технологического оборудования (утверждены приказом Министерства труда от 27.11.2020 №833н);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numPr>
                <w:ilvl w:val="0"/>
                <w:numId w:val="13"/>
              </w:numPr>
              <w:ind w:left="62" w:firstLine="0"/>
              <w:jc w:val="both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Правилах по охране труда при эксплуатации электроустановок, утвержденные Приказом Министерства труда и социальной защиты РФ от 15.12.2020 №903н;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numPr>
                <w:ilvl w:val="0"/>
                <w:numId w:val="13"/>
              </w:numPr>
              <w:contextualSpacing/>
              <w:ind w:left="62" w:firstLine="0"/>
              <w:jc w:val="both"/>
              <w:spacing w:before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Правила по охране труда при обработке металлов (утв. приказом Министерства труда и социальной защиты Российской Федерации от 11.12.2020г. №887н);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numPr>
                <w:ilvl w:val="0"/>
                <w:numId w:val="13"/>
              </w:numPr>
              <w:contextualSpacing/>
              <w:ind w:left="62" w:firstLine="0"/>
              <w:jc w:val="both"/>
              <w:spacing w:before="0" w:after="0"/>
              <w:widowControl w:val="off"/>
              <w:tabs>
                <w:tab w:val="left" w:pos="313" w:leader="none"/>
                <w:tab w:val="left" w:pos="413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Правила при погрузочно-разгрузочных работах и размещении грузов (утв. приказом Министерства труда и социальной защиты Российской Федерации от 28.10.2020г. №753н);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numPr>
                <w:ilvl w:val="0"/>
                <w:numId w:val="13"/>
              </w:numPr>
              <w:contextualSpacing/>
              <w:ind w:left="62" w:firstLine="0"/>
              <w:jc w:val="both"/>
              <w:spacing w:before="0" w:after="0"/>
              <w:widowControl w:val="off"/>
              <w:tabs>
                <w:tab w:val="left" w:pos="313" w:leader="none"/>
                <w:tab w:val="left" w:pos="413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Правила при эксплуатации промышленного транспорта (напольный безрельсовый колесный транспорт) (утв. приказом Министерства труда и социальной защиты Российской Федерации от 18.11.2020г. №814н);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numPr>
                <w:ilvl w:val="0"/>
                <w:numId w:val="13"/>
              </w:numPr>
              <w:contextualSpacing/>
              <w:ind w:left="62" w:firstLine="0"/>
              <w:jc w:val="both"/>
              <w:spacing w:before="0" w:after="0"/>
              <w:widowControl w:val="off"/>
              <w:tabs>
                <w:tab w:val="left" w:pos="313" w:leader="none"/>
                <w:tab w:val="left" w:pos="413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Правила при выполнении электросварочных и газосварочных работ (утв. приказом Министерства труда и социальной защиты Российской Федерации от 11.12.2020г. №884н);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numPr>
                <w:ilvl w:val="0"/>
                <w:numId w:val="13"/>
              </w:numPr>
              <w:contextualSpacing/>
              <w:ind w:left="62" w:firstLine="0"/>
              <w:jc w:val="both"/>
              <w:spacing w:before="0" w:after="0"/>
              <w:widowControl w:val="off"/>
              <w:tabs>
                <w:tab w:val="left" w:pos="313" w:leader="none"/>
                <w:tab w:val="left" w:pos="413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правила безопасности опасных производственных объектов, на которых используются подъемные сооружения (утв. приказом Федеральной службы по экологическому, технологическому и атомному надзору от 26.11.2020г. №461).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80"/>
              <w:contextualSpacing/>
              <w:ind w:left="62" w:firstLine="0"/>
              <w:jc w:val="both"/>
              <w:spacing w:before="0" w:after="0"/>
              <w:widowControl w:val="off"/>
              <w:tabs>
                <w:tab w:val="left" w:pos="25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ru-RU" w:eastAsia="ru-RU" w:bidi="ar-SA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ind w:left="62" w:firstLine="0"/>
              <w:jc w:val="both"/>
              <w:spacing w:before="0" w:after="0"/>
              <w:widowControl w:val="off"/>
              <w:rPr>
                <w:bCs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highlight w:val="white"/>
                <w:lang w:val="ru-RU" w:eastAsia="ru-RU" w:bidi="ar-SA"/>
              </w:rPr>
              <w:t xml:space="preserve">Более подробно требования указаны в проекте договора подряда (в том числе в разделе № 2), который включен в состав Документации о закупке)</w:t>
            </w:r>
            <w:r>
              <w:rPr>
                <w:i/>
                <w:sz w:val="24"/>
                <w:szCs w:val="24"/>
                <w:lang w:val="ru-RU" w:eastAsia="ru-RU" w:bidi="ar-SA"/>
              </w:rPr>
              <w:t xml:space="preserve">.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pStyle w:val="863"/>
              <w:jc w:val="both"/>
              <w:spacing w:before="0" w:after="0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863"/>
              <w:widowControl w:val="off"/>
            </w:pPr>
            <w:r/>
            <w:r/>
          </w:p>
        </w:tc>
        <w:tc>
          <w:tcPr>
            <w:tcW w:w="2233" w:type="dxa"/>
            <w:textDirection w:val="lrTb"/>
            <w:noWrap w:val="false"/>
          </w:tcPr>
          <w:p>
            <w:pPr>
              <w:pStyle w:val="863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743" w:type="dxa"/>
            <w:vAlign w:val="center"/>
            <w:textDirection w:val="lrTb"/>
            <w:noWrap w:val="false"/>
          </w:tcPr>
          <w:p>
            <w:pPr>
              <w:pStyle w:val="980"/>
              <w:numPr>
                <w:ilvl w:val="0"/>
                <w:numId w:val="6"/>
              </w:numPr>
              <w:contextualSpacing/>
              <w:ind w:left="0" w:firstLine="0"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9212" w:type="dxa"/>
            <w:vAlign w:val="center"/>
            <w:textDirection w:val="lrTb"/>
            <w:noWrap w:val="false"/>
          </w:tcPr>
          <w:p>
            <w:pPr>
              <w:pStyle w:val="863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Требования к результатам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863"/>
              <w:widowControl w:val="off"/>
            </w:pPr>
            <w:r/>
            <w:r/>
          </w:p>
        </w:tc>
        <w:tc>
          <w:tcPr>
            <w:tcW w:w="2233" w:type="dxa"/>
            <w:textDirection w:val="lrTb"/>
            <w:noWrap w:val="false"/>
          </w:tcPr>
          <w:p>
            <w:pPr>
              <w:pStyle w:val="863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43" w:type="dxa"/>
            <w:textDirection w:val="lrTb"/>
            <w:noWrap w:val="false"/>
          </w:tcPr>
          <w:p>
            <w:pPr>
              <w:pStyle w:val="980"/>
              <w:numPr>
                <w:ilvl w:val="1"/>
                <w:numId w:val="6"/>
              </w:numPr>
              <w:contextualSpacing/>
              <w:ind w:left="0" w:firstLine="0"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9212" w:type="dxa"/>
            <w:vAlign w:val="center"/>
            <w:textDirection w:val="lrTb"/>
            <w:noWrap w:val="false"/>
          </w:tcPr>
          <w:p>
            <w:pPr>
              <w:pStyle w:val="863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highlight w:val="white"/>
                <w:lang w:val="ru-RU" w:eastAsia="ru-RU" w:bidi="ar-SA"/>
              </w:rPr>
              <w:t xml:space="preserve">Общие требования к результатам работ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highlight w:val="white"/>
                <w:lang w:val="ru-RU" w:eastAsia="ru-RU" w:bidi="ar-SA"/>
              </w:rPr>
              <w:t xml:space="preserve">Состояние тепловой сети после ремонта должно соответствовать требованиям нормативно-технической документации.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both"/>
              <w:spacing w:before="60" w:after="0"/>
              <w:widowControl w:val="off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863"/>
              <w:widowControl w:val="off"/>
            </w:pPr>
            <w:r/>
            <w:r/>
          </w:p>
        </w:tc>
        <w:tc>
          <w:tcPr>
            <w:tcW w:w="2233" w:type="dxa"/>
            <w:textDirection w:val="lrTb"/>
            <w:noWrap w:val="false"/>
          </w:tcPr>
          <w:p>
            <w:pPr>
              <w:pStyle w:val="863"/>
              <w:jc w:val="center"/>
              <w:spacing w:before="0" w:after="0"/>
              <w:widowControl w:val="off"/>
              <w:rPr>
                <w:bCs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/>
        <w:tc>
          <w:tcPr>
            <w:tcW w:w="743" w:type="dxa"/>
            <w:textDirection w:val="lrTb"/>
            <w:noWrap w:val="false"/>
          </w:tcPr>
          <w:p>
            <w:pPr>
              <w:pStyle w:val="980"/>
              <w:numPr>
                <w:ilvl w:val="1"/>
                <w:numId w:val="6"/>
              </w:numPr>
              <w:contextualSpacing/>
              <w:ind w:left="0" w:firstLine="0"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9212" w:type="dxa"/>
            <w:vAlign w:val="center"/>
            <w:textDirection w:val="lrTb"/>
            <w:noWrap w:val="false"/>
          </w:tcPr>
          <w:p>
            <w:pPr>
              <w:pStyle w:val="863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highlight w:val="white"/>
                <w:lang w:val="ru-RU" w:eastAsia="ru-RU" w:bidi="ar-SA"/>
              </w:rPr>
              <w:t xml:space="preserve">Требования к порядку приемки результатов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  <w:highlight w:val="white"/>
                <w:lang w:val="ru-RU" w:eastAsia="ru-RU" w:bidi="ar-SA"/>
              </w:rPr>
              <w:t xml:space="preserve">Подробно указаны в проекте договора подряда (в том числе в разделе №4), который включен в состав Документации о закупке</w:t>
            </w:r>
            <w:r>
              <w:rPr>
                <w:sz w:val="24"/>
                <w:szCs w:val="24"/>
                <w:highlight w:val="white"/>
                <w:lang w:val="ru-RU" w:eastAsia="ru-RU" w:bidi="ar-SA"/>
              </w:rPr>
              <w:t xml:space="preserve">.</w:t>
            </w:r>
            <w:r>
              <w:rPr>
                <w:bCs/>
                <w:sz w:val="24"/>
                <w:szCs w:val="24"/>
                <w:highlight w:val="white"/>
                <w:lang w:val="ru-RU" w:eastAsia="ru-RU" w:bidi="ar-SA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both"/>
              <w:spacing w:before="0" w:after="0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863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233" w:type="dxa"/>
            <w:textDirection w:val="lrTb"/>
            <w:noWrap w:val="false"/>
          </w:tcPr>
          <w:p>
            <w:pPr>
              <w:pStyle w:val="863"/>
              <w:jc w:val="center"/>
              <w:spacing w:before="0" w:after="0"/>
              <w:widowControl w:val="off"/>
              <w:rPr>
                <w:bCs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/>
        <w:tc>
          <w:tcPr>
            <w:tcW w:w="743" w:type="dxa"/>
            <w:textDirection w:val="lrTb"/>
            <w:noWrap w:val="false"/>
          </w:tcPr>
          <w:p>
            <w:pPr>
              <w:pStyle w:val="980"/>
              <w:numPr>
                <w:ilvl w:val="1"/>
                <w:numId w:val="6"/>
              </w:numPr>
              <w:contextualSpacing/>
              <w:ind w:left="0" w:firstLine="0"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9212" w:type="dxa"/>
            <w:vAlign w:val="center"/>
            <w:textDirection w:val="lrTb"/>
            <w:noWrap w:val="false"/>
          </w:tcPr>
          <w:p>
            <w:pPr>
              <w:pStyle w:val="863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highlight w:val="white"/>
                <w:lang w:val="ru-RU" w:eastAsia="ru-RU" w:bidi="ar-SA"/>
              </w:rPr>
              <w:t xml:space="preserve">Требования к оформлению документации</w:t>
            </w:r>
            <w:r>
              <w:rPr>
                <w:i/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contextualSpacing/>
              <w:ind w:left="310" w:firstLine="0"/>
              <w:jc w:val="left"/>
              <w:spacing w:before="0" w:after="0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863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233" w:type="dxa"/>
            <w:textDirection w:val="lrTb"/>
            <w:noWrap w:val="false"/>
          </w:tcPr>
          <w:p>
            <w:pPr>
              <w:pStyle w:val="863"/>
              <w:jc w:val="center"/>
              <w:spacing w:before="0" w:after="0"/>
              <w:widowControl w:val="off"/>
              <w:rPr>
                <w:bCs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2990"/>
        </w:trPr>
        <w:tc>
          <w:tcPr>
            <w:tcW w:w="743" w:type="dxa"/>
            <w:textDirection w:val="lrTb"/>
            <w:noWrap w:val="false"/>
          </w:tcPr>
          <w:p>
            <w:pPr>
              <w:pStyle w:val="863"/>
              <w:jc w:val="left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2.3.1.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63"/>
              <w:numPr>
                <w:ilvl w:val="0"/>
                <w:numId w:val="0"/>
              </w:numPr>
              <w:ind w:left="0" w:firstLine="0"/>
              <w:jc w:val="left"/>
              <w:spacing w:before="60" w:after="60"/>
              <w:widowControl w:val="off"/>
              <w:rPr>
                <w:sz w:val="24"/>
                <w:szCs w:val="24"/>
              </w:rPr>
              <w:outlineLvl w:val="2"/>
            </w:pPr>
            <w:r>
              <w:rPr>
                <w:rFonts w:eastAsia="Calibri"/>
                <w:i/>
                <w:sz w:val="24"/>
                <w:szCs w:val="24"/>
                <w:highlight w:val="white"/>
                <w:lang w:val="ru-RU" w:eastAsia="ru-RU" w:bidi="ar-SA"/>
              </w:rPr>
              <w:t xml:space="preserve">Общие требования к оформлению документации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left"/>
              <w:spacing w:before="0" w:after="0"/>
              <w:widowControl w:val="off"/>
              <w:rPr>
                <w:rFonts w:eastAsia="Calibri"/>
                <w:bCs/>
                <w:sz w:val="24"/>
                <w:szCs w:val="24"/>
                <w:highlight w:val="white"/>
              </w:rPr>
            </w:pPr>
            <w:r>
              <w:rPr>
                <w:rFonts w:eastAsia="Calibri"/>
                <w:bCs/>
                <w:sz w:val="24"/>
                <w:szCs w:val="24"/>
                <w:highlight w:val="white"/>
              </w:rPr>
            </w:r>
            <w:r>
              <w:rPr>
                <w:rFonts w:eastAsia="Calibri"/>
                <w:bCs/>
                <w:sz w:val="24"/>
                <w:szCs w:val="24"/>
                <w:highlight w:val="white"/>
              </w:rPr>
            </w:r>
            <w:r>
              <w:rPr>
                <w:rFonts w:eastAsia="Calibri"/>
                <w:bCs/>
                <w:sz w:val="24"/>
                <w:szCs w:val="24"/>
                <w:highlight w:val="white"/>
              </w:rPr>
            </w:r>
          </w:p>
        </w:tc>
        <w:tc>
          <w:tcPr>
            <w:tcW w:w="7086" w:type="dxa"/>
            <w:vAlign w:val="center"/>
            <w:textDirection w:val="lrTb"/>
            <w:noWrap w:val="false"/>
          </w:tcPr>
          <w:p>
            <w:pPr>
              <w:pStyle w:val="863"/>
              <w:jc w:val="left"/>
              <w:spacing w:before="0" w:after="0"/>
              <w:widowControl w:val="off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Представить Заказчику электронные версии Акта </w:t>
              <w:br/>
              <w:t xml:space="preserve">КС-2 и Справки КС-3 на цифровом носителе в формате </w:t>
            </w:r>
            <w:r>
              <w:rPr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*gsfx ПК «ГРАНД Сметы», в формате *.pdf) и на бумажном носителе в 3-х экземплярах, исполнительную документацию в электронном виде (в формате *.pdf) и на бумажном носителе в 3-х экземплярах. Исполнительная документация должна быть оформлена в соответствии: </w:t>
            </w:r>
            <w:r>
              <w:rPr>
                <w:iCs/>
                <w:sz w:val="24"/>
                <w:szCs w:val="24"/>
                <w:lang w:val="ru-RU" w:eastAsia="ru-RU" w:bidi="ar-SA"/>
              </w:rPr>
              <w:t xml:space="preserve">приказа</w:t>
            </w:r>
            <w:r>
              <w:rPr>
                <w:color w:val="000000"/>
                <w:sz w:val="24"/>
                <w:szCs w:val="24"/>
                <w:lang w:val="ru-RU" w:eastAsia="ru-RU" w:bidi="ar-SA"/>
              </w:rPr>
              <w:t xml:space="preserve"> от 16 мая 2023 г. N 344/пр об утверждении состава и порядка ведения исполнительной документации при строительстве,реконструкции, капитальном ремонте объектов капитального строительства; положения об организации контроля и приёмки </w:t>
            </w:r>
            <w:r>
              <w:rPr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утвержденным приказом № 555 от 29.11.2019 г. АО «ДГК»</w:t>
            </w:r>
            <w:r>
              <w:rPr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863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233" w:type="dxa"/>
            <w:textDirection w:val="lrTb"/>
            <w:noWrap w:val="false"/>
          </w:tcPr>
          <w:p>
            <w:pPr>
              <w:pStyle w:val="863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336"/>
        </w:trPr>
        <w:tc>
          <w:tcPr>
            <w:tcW w:w="743" w:type="dxa"/>
            <w:textDirection w:val="lrTb"/>
            <w:noWrap w:val="false"/>
          </w:tcPr>
          <w:p>
            <w:pPr>
              <w:pStyle w:val="863"/>
              <w:jc w:val="left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2.3.2.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63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  <w:highlight w:val="white"/>
                <w:lang w:val="ru-RU" w:eastAsia="ru-RU" w:bidi="ar-SA"/>
              </w:rPr>
              <w:t xml:space="preserve">Состав документации включает в себя, но не ограничивается следующими документами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numPr>
                <w:ilvl w:val="0"/>
                <w:numId w:val="0"/>
              </w:numPr>
              <w:ind w:left="0" w:firstLine="0"/>
              <w:jc w:val="left"/>
              <w:spacing w:before="60" w:after="60"/>
              <w:widowControl w:val="off"/>
              <w:rPr>
                <w:sz w:val="24"/>
                <w:szCs w:val="24"/>
                <w:highlight w:val="white"/>
              </w:rPr>
              <w:outlineLvl w:val="2"/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7086" w:type="dxa"/>
            <w:vAlign w:val="center"/>
            <w:textDirection w:val="lrTb"/>
            <w:noWrap w:val="false"/>
          </w:tcPr>
          <w:p>
            <w:pPr>
              <w:pStyle w:val="863"/>
              <w:numPr>
                <w:ilvl w:val="0"/>
                <w:numId w:val="14"/>
              </w:numPr>
              <w:contextualSpacing/>
              <w:ind w:left="310" w:hanging="283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акт пред. ремонтного обследования объекта;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numPr>
                <w:ilvl w:val="0"/>
                <w:numId w:val="14"/>
              </w:numPr>
              <w:contextualSpacing/>
              <w:ind w:left="310" w:hanging="283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ведомость планируемых ремонтно-строительных работ;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numPr>
                <w:ilvl w:val="0"/>
                <w:numId w:val="14"/>
              </w:numPr>
              <w:contextualSpacing/>
              <w:ind w:left="310" w:hanging="283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акт готовности объекта к производству ремонтных работ;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numPr>
                <w:ilvl w:val="0"/>
                <w:numId w:val="14"/>
              </w:numPr>
              <w:contextualSpacing/>
              <w:ind w:left="310" w:hanging="283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акт приёмки из ремонта объекта;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numPr>
                <w:ilvl w:val="0"/>
                <w:numId w:val="14"/>
              </w:numPr>
              <w:contextualSpacing/>
              <w:ind w:left="310" w:hanging="283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комиссионные акты входного контроля закупаемых Подрядчиком материалов (в произвольной форме) на соответствие продукции требованиям технической документации;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numPr>
                <w:ilvl w:val="0"/>
                <w:numId w:val="14"/>
              </w:numPr>
              <w:contextualSpacing/>
              <w:ind w:left="310" w:hanging="283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акт освидетельствования скрытых работ;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numPr>
                <w:ilvl w:val="0"/>
                <w:numId w:val="14"/>
              </w:numPr>
              <w:contextualSpacing/>
              <w:ind w:left="310" w:hanging="283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исполнительные чертежи, схемы;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numPr>
                <w:ilvl w:val="0"/>
                <w:numId w:val="14"/>
              </w:numPr>
              <w:contextualSpacing/>
              <w:ind w:left="310" w:hanging="283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сертификаты, подтверждающие качество и соответствие требованиям конструкторской и нормативно-технической документации материалов (форма завода – изготовителя);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numPr>
                <w:ilvl w:val="0"/>
                <w:numId w:val="14"/>
              </w:numPr>
              <w:contextualSpacing/>
              <w:ind w:left="310" w:hanging="283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счета-фактуры на материалы, закупаемые Подрядчиком для использования в процессе ремонта;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numPr>
                <w:ilvl w:val="0"/>
                <w:numId w:val="14"/>
              </w:numPr>
              <w:contextualSpacing/>
              <w:ind w:left="310" w:hanging="283"/>
              <w:jc w:val="both"/>
              <w:spacing w:before="0" w:after="0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общий журнал работ формы КС-6, специальные журналы работ (соответствующие видам выполняемых работ) </w:t>
            </w:r>
            <w:r>
              <w:rPr>
                <w:rFonts w:cs="Times New Roman"/>
                <w:sz w:val="24"/>
                <w:szCs w:val="24"/>
                <w:highlight w:val="white"/>
                <w:lang w:val="ru-RU" w:eastAsia="ru-RU" w:bidi="ar-SA"/>
              </w:rPr>
              <w:t xml:space="preserve">(Приложение №5 к Техническим требованиям).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63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документы о контроле качества сварных соединений, оформленных в соответствии с</w:t>
            </w:r>
            <w:r>
              <w:rPr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iCs/>
                <w:sz w:val="24"/>
                <w:szCs w:val="24"/>
                <w:lang w:val="ru-RU" w:eastAsia="ru-RU" w:bidi="ar-SA"/>
              </w:rPr>
              <w:t xml:space="preserve">Регламентом оформления документации при проведении сварочных работ при монтаже и ремонте  объектов АО «ДГК».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left"/>
              <w:spacing w:before="0" w:after="0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863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233" w:type="dxa"/>
            <w:textDirection w:val="lrTb"/>
            <w:noWrap w:val="false"/>
          </w:tcPr>
          <w:p>
            <w:pPr>
              <w:pStyle w:val="863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43" w:type="dxa"/>
            <w:vAlign w:val="center"/>
            <w:textDirection w:val="lrTb"/>
            <w:noWrap w:val="false"/>
          </w:tcPr>
          <w:p>
            <w:pPr>
              <w:pStyle w:val="980"/>
              <w:numPr>
                <w:ilvl w:val="0"/>
                <w:numId w:val="6"/>
              </w:numPr>
              <w:contextualSpacing/>
              <w:ind w:left="0" w:firstLine="0"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9212" w:type="dxa"/>
            <w:vAlign w:val="center"/>
            <w:textDirection w:val="lrTb"/>
            <w:noWrap w:val="false"/>
          </w:tcPr>
          <w:p>
            <w:pPr>
              <w:pStyle w:val="863"/>
              <w:jc w:val="left"/>
              <w:spacing w:before="40" w:after="0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highlight w:val="white"/>
                <w:lang w:val="ru-RU" w:eastAsia="ru-RU" w:bidi="ar-SA"/>
              </w:rPr>
              <w:t xml:space="preserve"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Перечень национальных стандартов и сводов правил (ч</w:t>
            </w:r>
            <w:r>
              <w:rPr>
                <w:bCs/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от 30.12.2009 №384-ФЗ "Технический регламент о безопасности зданий и сооружений" (в ред.от 25.12.2023);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  <w:highlight w:val="white"/>
                <w:lang w:val="ru-RU" w:eastAsia="ru-RU" w:bidi="ar-SA"/>
              </w:rPr>
              <w:t xml:space="preserve">Федеральный законом «О техническом регулировании» №184- ФЗ от 27.12.2002;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  <w:lang w:val="ru-RU" w:eastAsia="ru-RU" w:bidi="ar-SA"/>
              </w:rPr>
              <w:t xml:space="preserve">"Правила промышленной безопасности при использовании оборудования, работающего под избыточным давлением"</w:t>
            </w:r>
            <w:r>
              <w:rPr>
                <w:rStyle w:val="937"/>
                <w:color w:val="000000" w:themeColor="text1"/>
                <w:sz w:val="24"/>
                <w:szCs w:val="24"/>
                <w:highlight w:val="white"/>
                <w:lang w:val="ru-RU" w:eastAsia="ru-RU" w:bidi="ar-SA"/>
              </w:rPr>
              <w:t xml:space="preserve"> утвержденные приказом Федеральной службой по экологическому, технологическому и атомному надзору от 15.12.2020 г. №536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  <w:lang w:val="ru-RU" w:eastAsia="ru-RU" w:bidi="ar-SA"/>
              </w:rPr>
              <w:t xml:space="preserve">"Правила безопасности опасных производственных объектов, на которых используются подъемные сооружения" </w:t>
            </w:r>
            <w:r>
              <w:rPr>
                <w:rStyle w:val="937"/>
                <w:color w:val="000000" w:themeColor="text1"/>
                <w:sz w:val="24"/>
                <w:szCs w:val="24"/>
                <w:highlight w:val="white"/>
                <w:lang w:val="ru-RU" w:eastAsia="ru-RU" w:bidi="ar-SA"/>
              </w:rPr>
              <w:t xml:space="preserve">утвержденные приказом Федеральной службой по экологическому и атомному надзору от 26.11.2020 г. № 461.;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Положением по формированию и управлению работой аварийных бригад при выполнении аварийных работ на оборудовании СП АО «ДГК» 21-004-2017.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863"/>
              <w:widowControl w:val="off"/>
            </w:pPr>
            <w:r/>
            <w:r/>
          </w:p>
        </w:tc>
        <w:tc>
          <w:tcPr>
            <w:tcW w:w="2233" w:type="dxa"/>
            <w:textDirection w:val="lrTb"/>
            <w:noWrap w:val="false"/>
          </w:tcPr>
          <w:p>
            <w:pPr>
              <w:pStyle w:val="863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43" w:type="dxa"/>
            <w:vAlign w:val="center"/>
            <w:textDirection w:val="lrTb"/>
            <w:noWrap w:val="false"/>
          </w:tcPr>
          <w:p>
            <w:pPr>
              <w:pStyle w:val="980"/>
              <w:numPr>
                <w:ilvl w:val="0"/>
                <w:numId w:val="6"/>
              </w:numPr>
              <w:contextualSpacing/>
              <w:ind w:left="0" w:firstLine="0"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9212" w:type="dxa"/>
            <w:vAlign w:val="center"/>
            <w:textDirection w:val="lrTb"/>
            <w:noWrap w:val="false"/>
          </w:tcPr>
          <w:p>
            <w:pPr>
              <w:pStyle w:val="863"/>
              <w:jc w:val="both"/>
              <w:spacing w:before="20" w:after="0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highlight w:val="white"/>
                <w:lang w:val="ru-RU" w:eastAsia="ru-RU" w:bidi="ar-SA"/>
              </w:rPr>
              <w:t xml:space="preserve">Требования к ответственности и гарантиям подрядчика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left"/>
              <w:spacing w:before="0" w:after="0"/>
              <w:widowControl w:val="off"/>
              <w:rPr>
                <w:rFonts w:eastAsia="Courier New"/>
                <w:bCs/>
                <w:i/>
                <w:color w:val="000000"/>
                <w:sz w:val="24"/>
                <w:szCs w:val="24"/>
              </w:rPr>
            </w:pPr>
            <w:r>
              <w:rPr>
                <w:rFonts w:eastAsia="Courier New"/>
                <w:i/>
                <w:color w:val="000000"/>
                <w:sz w:val="24"/>
                <w:szCs w:val="24"/>
                <w:highlight w:val="white"/>
                <w:lang w:val="ru-RU" w:eastAsia="ru-RU" w:bidi="ru-RU"/>
              </w:rPr>
              <w:t xml:space="preserve">Подробно требования к сроку и объему предоставления гарантий указаны в проекте договора подряда </w:t>
            </w:r>
            <w:r>
              <w:rPr>
                <w:rFonts w:eastAsia="Courier New"/>
                <w:i/>
                <w:iCs/>
                <w:color w:val="000000"/>
                <w:sz w:val="24"/>
                <w:szCs w:val="24"/>
                <w:highlight w:val="white"/>
                <w:lang w:val="ru-RU" w:eastAsia="ru-RU" w:bidi="ru-RU"/>
              </w:rPr>
              <w:t xml:space="preserve">(в том числе в разделе №7</w:t>
            </w:r>
            <w:r>
              <w:rPr>
                <w:rFonts w:eastAsia="Courier New"/>
                <w:i/>
                <w:color w:val="000000"/>
                <w:sz w:val="24"/>
                <w:szCs w:val="24"/>
                <w:highlight w:val="white"/>
                <w:lang w:val="ru-RU" w:eastAsia="ru-RU" w:bidi="ru-RU"/>
              </w:rPr>
              <w:t xml:space="preserve">), который включен в состав Документации о закупке.</w:t>
            </w:r>
            <w:r>
              <w:rPr>
                <w:rFonts w:eastAsia="Courier New"/>
                <w:bCs/>
                <w:i/>
                <w:color w:val="000000"/>
                <w:sz w:val="24"/>
                <w:szCs w:val="24"/>
              </w:rPr>
            </w:r>
            <w:r>
              <w:rPr>
                <w:rFonts w:eastAsia="Courier New"/>
                <w:bCs/>
                <w:i/>
                <w:color w:val="000000"/>
                <w:sz w:val="24"/>
                <w:szCs w:val="24"/>
              </w:rPr>
            </w:r>
          </w:p>
          <w:p>
            <w:pPr>
              <w:pStyle w:val="863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863"/>
              <w:widowControl w:val="off"/>
            </w:pPr>
            <w:r/>
            <w:r/>
          </w:p>
        </w:tc>
        <w:tc>
          <w:tcPr>
            <w:tcW w:w="2233" w:type="dxa"/>
            <w:textDirection w:val="lrTb"/>
            <w:noWrap w:val="false"/>
          </w:tcPr>
          <w:p>
            <w:pPr>
              <w:pStyle w:val="863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43" w:type="dxa"/>
            <w:vAlign w:val="center"/>
            <w:textDirection w:val="lrTb"/>
            <w:noWrap w:val="false"/>
          </w:tcPr>
          <w:p>
            <w:pPr>
              <w:pStyle w:val="980"/>
              <w:numPr>
                <w:ilvl w:val="0"/>
                <w:numId w:val="6"/>
              </w:numPr>
              <w:contextualSpacing/>
              <w:ind w:left="0" w:firstLine="0"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9212" w:type="dxa"/>
            <w:vAlign w:val="center"/>
            <w:textDirection w:val="lrTb"/>
            <w:noWrap w:val="false"/>
          </w:tcPr>
          <w:p>
            <w:pPr>
              <w:pStyle w:val="863"/>
              <w:jc w:val="left"/>
              <w:keepNext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highlight w:val="white"/>
                <w:lang w:val="ru-RU" w:eastAsia="ru-RU" w:bidi="ar-SA"/>
              </w:rPr>
              <w:t xml:space="preserve">Требования к подрядчику (и субподрядчикам) и его обязательствам, влияющим на исполнение договора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  <w:highlight w:val="white"/>
                <w:lang w:val="ru-RU" w:eastAsia="ru-RU" w:bidi="ar-SA"/>
              </w:rPr>
              <w:t xml:space="preserve">Требования к субподрядным организациям, привлекаемым к выполнению работ: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left"/>
              <w:spacing w:before="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highlight w:val="white"/>
                <w:lang w:val="ru-RU" w:eastAsia="ru-RU" w:bidi="ar-SA"/>
              </w:rPr>
              <w:t xml:space="preserve">Подробно указаны в проекте договора подряда (в том числе в разделе №2), который включен в состав Документации о закупке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pStyle w:val="863"/>
              <w:jc w:val="left"/>
              <w:spacing w:before="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863"/>
              <w:widowControl w:val="off"/>
            </w:pPr>
            <w:r/>
            <w:r/>
          </w:p>
        </w:tc>
        <w:tc>
          <w:tcPr>
            <w:tcW w:w="2233" w:type="dxa"/>
            <w:textDirection w:val="lrTb"/>
            <w:noWrap w:val="false"/>
          </w:tcPr>
          <w:p>
            <w:pPr>
              <w:pStyle w:val="863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743" w:type="dxa"/>
            <w:vAlign w:val="center"/>
            <w:textDirection w:val="lrTb"/>
            <w:noWrap w:val="false"/>
          </w:tcPr>
          <w:p>
            <w:pPr>
              <w:pStyle w:val="863"/>
              <w:ind w:left="0" w:firstLine="0"/>
              <w:jc w:val="left"/>
              <w:spacing w:before="60" w:after="6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6.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863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9212" w:type="dxa"/>
            <w:vAlign w:val="center"/>
            <w:textDirection w:val="lrTb"/>
            <w:noWrap w:val="false"/>
          </w:tcPr>
          <w:p>
            <w:pPr>
              <w:pStyle w:val="863"/>
              <w:jc w:val="left"/>
              <w:keepNext/>
              <w:spacing w:before="60" w:after="0" w:line="240" w:lineRule="auto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ru-RU" w:eastAsia="ru-RU" w:bidi="ar-SA"/>
              </w:rPr>
              <w:t xml:space="preserve">Требования к победителю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863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233" w:type="dxa"/>
            <w:textDirection w:val="lrTb"/>
            <w:noWrap w:val="false"/>
          </w:tcPr>
          <w:p>
            <w:pPr>
              <w:pStyle w:val="863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743" w:type="dxa"/>
            <w:vAlign w:val="center"/>
            <w:textDirection w:val="lrTb"/>
            <w:noWrap w:val="false"/>
          </w:tcPr>
          <w:p>
            <w:pPr>
              <w:pStyle w:val="863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6.1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W w:w="12189" w:type="dxa"/>
            <w:vAlign w:val="center"/>
            <w:textDirection w:val="lrTb"/>
            <w:noWrap w:val="false"/>
          </w:tcPr>
          <w:p>
            <w:pPr>
              <w:pStyle w:val="863"/>
              <w:ind w:firstLine="720"/>
              <w:jc w:val="both"/>
              <w:keepNext/>
              <w:spacing w:before="60" w:after="0" w:line="240" w:lineRule="auto"/>
              <w:widowControl w:val="off"/>
              <w:rPr>
                <w:rFonts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val="ru-RU" w:eastAsia="ru-RU" w:bidi="ar-SA"/>
              </w:rPr>
              <w:t xml:space="preserve">Участник, признанный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highlight w:val="white"/>
                <w:lang w:val="ru-RU" w:eastAsia="ru-RU" w:bidi="ar-SA"/>
              </w:rPr>
              <w:t xml:space="preserve"> победителем </w:t>
            </w:r>
            <w:r>
              <w:rPr>
                <w:rFonts w:eastAsia="Times New Roman" w:cs="Times New Roman"/>
                <w:sz w:val="24"/>
                <w:szCs w:val="24"/>
                <w:highlight w:val="white"/>
                <w:lang w:val="ru-RU" w:eastAsia="ru-RU" w:bidi="ar-SA"/>
              </w:rPr>
              <w:t xml:space="preserve"> закупочной про</w:t>
            </w:r>
            <w:r>
              <w:rPr>
                <w:rFonts w:eastAsia="Times New Roman" w:cs="Times New Roman"/>
                <w:sz w:val="24"/>
                <w:szCs w:val="24"/>
                <w:highlight w:val="white"/>
                <w:lang w:val="ru-RU" w:eastAsia="ru-RU" w:bidi="ar-SA"/>
              </w:rPr>
              <w:t xml:space="preserve">цедуры, в течение 5 (пяти) рабочих дней после размещения протокола подведения  итогов закупки на сайте  www.zakupki.gov.ru  (до заключения договора), должен предоставить в адрес Заказчика на электронный адрес  (delnov-my@dgk.ru)  дополнительные документы. </w:t>
            </w:r>
            <w:r>
              <w:rPr>
                <w:rFonts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863"/>
              <w:ind w:firstLine="720"/>
              <w:jc w:val="both"/>
              <w:keepNext/>
              <w:spacing w:before="60" w:after="0" w:line="240" w:lineRule="auto"/>
              <w:widowControl w:val="off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val="ru-RU" w:eastAsia="ru-RU" w:bidi="ar-SA"/>
              </w:rPr>
              <w:t xml:space="preserve">В случае не предоставления документов, указанных в данном пункте Технических требований в установленный срок, в соответствии с  условиями Документации о закупке, Победитель признае</w:t>
            </w:r>
            <w:r>
              <w:rPr>
                <w:rFonts w:eastAsia="Times New Roman" w:cs="Times New Roman"/>
                <w:sz w:val="24"/>
                <w:szCs w:val="24"/>
                <w:highlight w:val="white"/>
                <w:lang w:val="ru-RU" w:eastAsia="ru-RU" w:bidi="ar-SA"/>
              </w:rPr>
              <w:t xml:space="preserve">тся уклонившимся от заключения Договора и утрачивает статус Победителя, а  Закупочная комиссия имеет право выбрать в качестве Победителя иного Участника, занявшего следующее место в ранжировке заявок  после Победителя, из числа остальных допущенных заявок.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W w:w="2233" w:type="dxa"/>
            <w:textDirection w:val="lrTb"/>
            <w:noWrap w:val="false"/>
          </w:tcPr>
          <w:p>
            <w:pPr>
              <w:pStyle w:val="863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863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43" w:type="dxa"/>
            <w:vAlign w:val="center"/>
            <w:textDirection w:val="lrTb"/>
            <w:noWrap w:val="false"/>
          </w:tcPr>
          <w:p>
            <w:pPr>
              <w:pStyle w:val="863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9212" w:type="dxa"/>
            <w:textDirection w:val="lrTb"/>
            <w:noWrap w:val="false"/>
          </w:tcPr>
          <w:p>
            <w:pPr>
              <w:pStyle w:val="863"/>
              <w:jc w:val="both"/>
              <w:keepNext/>
              <w:spacing w:before="60" w:after="0" w:line="240" w:lineRule="auto"/>
              <w:widowControl w:val="off"/>
              <w:rPr>
                <w:rFonts w:eastAsia="Times New Roman" w:cs="Times New Roman"/>
                <w:b/>
                <w:bCs/>
                <w:sz w:val="24"/>
                <w:szCs w:val="24"/>
                <w:highlight w:val="white"/>
                <w:u w:val="singl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highlight w:val="white"/>
                <w:u w:val="single"/>
                <w:lang w:val="ru-RU" w:eastAsia="ru-RU" w:bidi="ar-SA"/>
              </w:rPr>
              <w:t xml:space="preserve">Требования к кадровым ресурсам победителя: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highlight w:val="white"/>
                <w:u w:val="single"/>
              </w:rPr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highlight w:val="white"/>
                <w:u w:val="single"/>
              </w:rPr>
            </w:r>
          </w:p>
          <w:p>
            <w:pPr>
              <w:pStyle w:val="980"/>
              <w:numPr>
                <w:ilvl w:val="0"/>
                <w:numId w:val="19"/>
              </w:numPr>
              <w:contextualSpacing/>
              <w:jc w:val="both"/>
              <w:keepNext/>
              <w:spacing w:before="60" w:after="0" w:line="240" w:lineRule="auto"/>
              <w:widowControl w:val="off"/>
              <w:rPr>
                <w:rFonts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val="ru-RU" w:eastAsia="ru-RU" w:bidi="ar-SA"/>
              </w:rPr>
              <w:t xml:space="preserve">Согласно требования п.92 Постановления Правительства  Российской федерации от 24.12.2021 г.No2464 «О порядке  обучения по охране труда и проверки знаний требований охраны труда»: </w:t>
            </w:r>
            <w:r>
              <w:rPr>
                <w:rFonts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80"/>
              <w:numPr>
                <w:ilvl w:val="0"/>
                <w:numId w:val="20"/>
              </w:numPr>
              <w:contextualSpacing/>
              <w:jc w:val="both"/>
              <w:keepNext/>
              <w:spacing w:before="60" w:after="0" w:line="240" w:lineRule="auto"/>
              <w:widowControl w:val="off"/>
              <w:rPr>
                <w:rFonts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val="ru-RU" w:eastAsia="ru-RU" w:bidi="ar-SA"/>
              </w:rPr>
              <w:t xml:space="preserve">иметь в наличие не менее 3 человек (руководитель,  производитель работ и всех членов бригады) документы  проверки знаний требований охраны труда. </w:t>
            </w:r>
            <w:r>
              <w:rPr>
                <w:rFonts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863"/>
              <w:ind w:left="0" w:firstLine="0"/>
              <w:jc w:val="both"/>
              <w:keepNext/>
              <w:spacing w:before="60" w:after="0" w:line="240" w:lineRule="auto"/>
              <w:widowControl w:val="off"/>
              <w:rPr>
                <w:rFonts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80"/>
              <w:numPr>
                <w:ilvl w:val="0"/>
                <w:numId w:val="19"/>
              </w:numPr>
              <w:contextualSpacing/>
              <w:jc w:val="both"/>
              <w:keepNext/>
              <w:spacing w:before="60" w:after="0" w:line="240" w:lineRule="auto"/>
              <w:widowControl w:val="off"/>
              <w:rPr>
                <w:highlight w:val="none"/>
                <w:shd w:val="clear" w:color="auto" w:fill="auto"/>
              </w:rPr>
            </w:pPr>
            <w:r>
              <w:rPr>
                <w:rFonts w:eastAsia="Times New Roman" w:cs="Times New Roman"/>
                <w:sz w:val="24"/>
                <w:szCs w:val="24"/>
                <w:shd w:val="clear" w:color="auto" w:fill="auto"/>
                <w:lang w:val="ru-RU" w:eastAsia="ru-RU" w:bidi="ar-SA"/>
              </w:rPr>
              <w:t xml:space="preserve">Согласно Прик</w:t>
            </w:r>
            <w:r>
              <w:rPr>
                <w:rFonts w:eastAsia="Times New Roman" w:cs="Times New Roman"/>
                <w:sz w:val="24"/>
                <w:szCs w:val="24"/>
                <w:shd w:val="clear" w:color="auto" w:fill="auto"/>
                <w:lang w:val="ru-RU" w:eastAsia="ru-RU" w:bidi="ar-SA"/>
              </w:rPr>
              <w:t xml:space="preserve">аза Ростехнадзора №519 от 11.12.2020г об утверждении федеральных норм и правил в области промышленной безопасности «Требования к производству сварочных работ на опасных производственных объектах»: иметь минимальное количество квалифицированного персонала: 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980"/>
              <w:numPr>
                <w:ilvl w:val="0"/>
                <w:numId w:val="18"/>
              </w:numPr>
              <w:contextualSpacing/>
              <w:ind w:left="363" w:firstLine="363"/>
              <w:jc w:val="both"/>
              <w:keepNext/>
              <w:spacing w:before="60" w:after="0" w:line="240" w:lineRule="auto"/>
              <w:widowControl w:val="off"/>
              <w:rPr>
                <w:highlight w:val="none"/>
                <w:shd w:val="clear" w:color="auto" w:fill="auto"/>
              </w:rPr>
            </w:pPr>
            <w:r>
              <w:rPr>
                <w:rFonts w:eastAsia="Times New Roman" w:cs="Times New Roman"/>
                <w:sz w:val="24"/>
                <w:szCs w:val="24"/>
                <w:shd w:val="clear" w:color="auto" w:fill="auto"/>
                <w:lang w:val="ru-RU" w:eastAsia="ru-RU" w:bidi="ar-SA"/>
              </w:rPr>
              <w:t xml:space="preserve">Специалисты сварочного производства-(СК1 НАКС) - не менее 1 чел.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980"/>
              <w:numPr>
                <w:ilvl w:val="0"/>
                <w:numId w:val="18"/>
              </w:numPr>
              <w:contextualSpacing/>
              <w:ind w:left="363" w:firstLine="363"/>
              <w:jc w:val="both"/>
              <w:keepNext/>
              <w:spacing w:before="60" w:after="0" w:line="240" w:lineRule="auto"/>
              <w:widowControl w:val="off"/>
              <w:rPr>
                <w:highlight w:val="none"/>
                <w:shd w:val="clear" w:color="auto" w:fill="auto"/>
              </w:rPr>
            </w:pPr>
            <w:r>
              <w:rPr>
                <w:rFonts w:eastAsia="Times New Roman" w:cs="Times New Roman"/>
                <w:sz w:val="24"/>
                <w:szCs w:val="24"/>
                <w:shd w:val="clear" w:color="auto" w:fill="auto"/>
                <w:lang w:val="ru-RU" w:eastAsia="ru-RU" w:bidi="ar-SA"/>
              </w:rPr>
              <w:t xml:space="preserve">Сварщики НАКС (КО2) – не менее 2-х чел.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863"/>
              <w:jc w:val="both"/>
              <w:keepNext/>
              <w:spacing w:before="60" w:after="0" w:line="240" w:lineRule="auto"/>
              <w:widowControl w:val="off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  <w:p>
            <w:pPr>
              <w:pStyle w:val="863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5210" w:type="dxa"/>
            <w:textDirection w:val="lrTb"/>
            <w:noWrap w:val="false"/>
          </w:tcPr>
          <w:p>
            <w:pPr>
              <w:pStyle w:val="863"/>
              <w:jc w:val="both"/>
              <w:keepNext/>
              <w:spacing w:before="60"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  <w:u w:val="singl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highlight w:val="white"/>
                <w:u w:val="single"/>
                <w:lang w:val="ru-RU" w:eastAsia="ru-RU" w:bidi="ar-SA"/>
              </w:rPr>
              <w:t xml:space="preserve">Подтверждается: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  <w:u w:val="singl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  <w:u w:val="single"/>
              </w:rPr>
            </w:r>
          </w:p>
          <w:p>
            <w:pPr>
              <w:pStyle w:val="863"/>
              <w:jc w:val="both"/>
              <w:keepNext/>
              <w:spacing w:before="60" w:after="0" w:line="240" w:lineRule="auto"/>
              <w:widowControl w:val="off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val="ru-RU" w:eastAsia="ru-RU" w:bidi="ar-SA"/>
              </w:rPr>
              <w:t xml:space="preserve">1.Копиями до</w:t>
            </w:r>
            <w:r>
              <w:rPr>
                <w:rFonts w:eastAsia="Times New Roman" w:cs="Times New Roman"/>
                <w:sz w:val="24"/>
                <w:szCs w:val="24"/>
                <w:highlight w:val="white"/>
                <w:lang w:val="ru-RU" w:eastAsia="ru-RU" w:bidi="ar-SA"/>
              </w:rPr>
              <w:t xml:space="preserve">кументов проверки знаний требований охраны труда обученных   лиц,   не   менее   чем   на   3   человек,   (руководитель, производитель   работ   и   всех   членов   бригады),   которые   будут непосредственно на объектах выполнять работы по Наряду-допуску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  <w:p>
            <w:pPr>
              <w:pStyle w:val="863"/>
              <w:jc w:val="left"/>
              <w:keepNext/>
              <w:spacing w:before="60" w:after="0"/>
              <w:widowControl w:val="o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pStyle w:val="863"/>
              <w:widowControl w:val="off"/>
              <w:rPr>
                <w:highlight w:val="none"/>
                <w:shd w:val="clear" w:color="auto" w:fill="auto"/>
              </w:rPr>
            </w:pPr>
            <w:r>
              <w:rPr>
                <w:rFonts w:cs="Times New Roman"/>
                <w:b w:val="0"/>
                <w:bCs w:val="0"/>
                <w:sz w:val="24"/>
                <w:szCs w:val="24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863"/>
              <w:widowControl w:val="off"/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2.1 Аттестационное удостоверение НАКС специалиста сварочного производства: СК1.</w:t>
            </w:r>
            <w:r/>
          </w:p>
          <w:p>
            <w:pPr>
              <w:pStyle w:val="863"/>
              <w:widowControl w:val="off"/>
              <w:rPr>
                <w:b w:val="0"/>
                <w:bCs w:val="0"/>
                <w:highlight w:val="none"/>
                <w:shd w:val="clear" w:color="auto" w:fill="auto"/>
              </w:rPr>
            </w:pPr>
            <w:r>
              <w:rPr>
                <w:rFonts w:eastAsia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auto"/>
                <w:lang w:eastAsia="ru-RU"/>
              </w:rPr>
              <w:t xml:space="preserve">2.2 Аттестационное  удостоверение НАКС для сварщиков: КО2.</w:t>
            </w:r>
            <w:r>
              <w:rPr>
                <w:b w:val="0"/>
                <w:bCs w:val="0"/>
                <w:highlight w:val="none"/>
                <w:shd w:val="clear" w:color="auto" w:fill="auto"/>
              </w:rPr>
            </w:r>
            <w:r>
              <w:rPr>
                <w:b w:val="0"/>
                <w:bCs w:val="0"/>
                <w:highlight w:val="none"/>
                <w:shd w:val="clear" w:color="auto" w:fill="auto"/>
              </w:rPr>
            </w:r>
          </w:p>
          <w:p>
            <w:pPr>
              <w:pStyle w:val="863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sectPr>
          <w:headerReference w:type="default" r:id="rId12"/>
          <w:headerReference w:type="first" r:id="rId13"/>
          <w:footerReference w:type="default" r:id="rId17"/>
          <w:footerReference w:type="first" r:id="rId18"/>
          <w:footnotePr/>
          <w:endnotePr/>
          <w:type w:val="nextPage"/>
          <w:pgSz w:w="16838" w:h="11906" w:orient="landscape"/>
          <w:pgMar w:top="851" w:right="567" w:bottom="794" w:left="992" w:header="680" w:footer="737" w:gutter="0"/>
          <w:cols w:num="1" w:sep="0" w:space="1701" w:equalWidth="1"/>
          <w:docGrid w:linePitch="360"/>
          <w:titlePg/>
        </w:sectPr>
      </w:pPr>
      <w:r/>
      <w:r/>
    </w:p>
    <w:p>
      <w:pPr>
        <w:pStyle w:val="864"/>
        <w:numPr>
          <w:ilvl w:val="0"/>
          <w:numId w:val="17"/>
        </w:numPr>
        <w:ind w:left="0" w:firstLine="0"/>
        <w:jc w:val="center"/>
        <w:keepLines/>
        <w:spacing w:before="0" w:after="0"/>
        <w:tabs>
          <w:tab w:val="left" w:pos="283" w:leader="none"/>
          <w:tab w:val="clear" w:pos="708" w:leader="none"/>
        </w:tabs>
        <w:rPr>
          <w:bCs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 xml:space="preserve">Требованиям к оформлению и составлению сметной документации на выполнение работ по программе ремонтов, реконструкции и техническому перевооружению</w:t>
      </w:r>
      <w:r>
        <w:rPr>
          <w:bCs/>
          <w:sz w:val="24"/>
          <w:szCs w:val="24"/>
        </w:rPr>
        <w:t xml:space="preserve"> на этапе закупки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80"/>
        <w:numPr>
          <w:ilvl w:val="1"/>
          <w:numId w:val="17"/>
        </w:numPr>
        <w:contextualSpacing/>
        <w:ind w:left="0" w:firstLine="709"/>
        <w:jc w:val="both"/>
        <w:spacing w:before="120" w:after="120"/>
        <w:widowControl w:val="off"/>
      </w:pPr>
      <w:r>
        <w:t xml:space="preserve">В обоснование стоимости своей заявки Участник предоставляет Комме</w:t>
      </w:r>
      <w:r>
        <w:t xml:space="preserve">рческое предложение по форме №3 (с учетом прилагаемой к ней инструкции по заполнению), приведенной в Документации о закупке (с указанием понижающего коэффициента. Размер данного коэффициента рекомендуется учитывать с округлением до 7 знаков после запятой).</w:t>
      </w:r>
      <w:r/>
    </w:p>
    <w:p>
      <w:pPr>
        <w:pStyle w:val="980"/>
        <w:numPr>
          <w:ilvl w:val="1"/>
          <w:numId w:val="17"/>
        </w:numPr>
        <w:contextualSpacing/>
        <w:ind w:left="0" w:firstLine="709"/>
        <w:jc w:val="both"/>
        <w:spacing w:before="120" w:after="120"/>
        <w:widowControl w:val="off"/>
        <w:tabs>
          <w:tab w:val="left" w:pos="426" w:leader="none"/>
          <w:tab w:val="clear" w:pos="708" w:leader="none"/>
        </w:tabs>
      </w:pPr>
      <w:r>
        <w:t xml:space="preserve">Дополнительные документы по ценообразованию (сметная документация) в состав заявки Участника не включаются.</w:t>
      </w:r>
      <w:r/>
    </w:p>
    <w:p>
      <w:pPr>
        <w:pStyle w:val="863"/>
        <w:ind w:left="360" w:firstLine="0"/>
        <w:jc w:val="both"/>
        <w:spacing w:before="120" w:after="120"/>
        <w:widowControl w:val="off"/>
        <w:tabs>
          <w:tab w:val="left" w:pos="426" w:leader="none"/>
          <w:tab w:val="clear" w:pos="708" w:leader="none"/>
        </w:tabs>
      </w:pPr>
      <w:r/>
      <w:r/>
    </w:p>
    <w:p>
      <w:pPr>
        <w:pStyle w:val="980"/>
        <w:numPr>
          <w:ilvl w:val="0"/>
          <w:numId w:val="17"/>
        </w:numPr>
        <w:contextualSpacing/>
        <w:ind w:left="0" w:firstLine="0"/>
        <w:jc w:val="center"/>
        <w:spacing w:before="0" w:after="0"/>
        <w:widowControl w:val="off"/>
        <w:tabs>
          <w:tab w:val="left" w:pos="283" w:leader="none"/>
          <w:tab w:val="clear" w:pos="708" w:leader="none"/>
        </w:tabs>
        <w:rPr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 xml:space="preserve">Требованиям к оформлению и составлению сметной документации на выполнение работ по программе ремонтов, реконструкции и техническому перевооружению</w:t>
      </w:r>
      <w:r>
        <w:rPr>
          <w:b/>
          <w:bCs/>
          <w:sz w:val="24"/>
          <w:szCs w:val="24"/>
        </w:rPr>
        <w:t xml:space="preserve"> на этапе заключения (исполнения) договора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0"/>
        <w:numPr>
          <w:ilvl w:val="1"/>
          <w:numId w:val="17"/>
        </w:numPr>
        <w:contextualSpacing/>
        <w:ind w:left="0" w:firstLine="709"/>
        <w:jc w:val="both"/>
        <w:spacing w:before="120" w:after="120"/>
        <w:widowControl w:val="off"/>
        <w:tabs>
          <w:tab w:val="clear" w:pos="708" w:leader="none"/>
          <w:tab w:val="left" w:pos="1134" w:leader="none"/>
        </w:tabs>
      </w:pPr>
      <w:r>
        <w:rPr>
          <w:szCs w:val="23"/>
          <w:u w:val="single"/>
        </w:rPr>
        <w:t xml:space="preserve">Требования к оформлению и составлению сметной документации (при заключении договора):</w:t>
      </w:r>
      <w:r/>
    </w:p>
    <w:p>
      <w:pPr>
        <w:pStyle w:val="980"/>
        <w:numPr>
          <w:ilvl w:val="2"/>
          <w:numId w:val="17"/>
        </w:numPr>
        <w:contextualSpacing/>
        <w:ind w:left="0" w:firstLine="709"/>
        <w:jc w:val="both"/>
        <w:spacing w:before="0" w:after="0"/>
        <w:widowControl w:val="off"/>
        <w:tabs>
          <w:tab w:val="clear" w:pos="708" w:leader="none"/>
          <w:tab w:val="left" w:pos="1134" w:leader="none"/>
        </w:tabs>
        <w:rPr>
          <w:color w:val="000000" w:themeColor="text1"/>
        </w:rPr>
      </w:pPr>
      <w:r>
        <w:rPr>
          <w:szCs w:val="23"/>
        </w:rPr>
        <w:t xml:space="preserve">Сметная документация разработана заказчиком в рамках определения начальной (максимальной) цены договора в соответствии с требованиями, указанными в </w:t>
      </w:r>
      <w:r>
        <w:rPr>
          <w:szCs w:val="23"/>
          <w:highlight w:val="white"/>
        </w:rPr>
        <w:t xml:space="preserve">приложении № 4 к настоящим Техническим требованиям</w:t>
      </w:r>
      <w:r>
        <w:rPr>
          <w:szCs w:val="23"/>
        </w:rPr>
        <w:t xml:space="preserve">,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</w:t>
      </w:r>
      <w:r>
        <w:rPr>
          <w:i/>
          <w:szCs w:val="23"/>
        </w:rPr>
        <w:t xml:space="preserve">(после начисления лимитированных затрат в случае составления одной сметы).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980"/>
        <w:numPr>
          <w:ilvl w:val="2"/>
          <w:numId w:val="17"/>
        </w:numPr>
        <w:contextualSpacing/>
        <w:ind w:left="0" w:firstLine="709"/>
        <w:jc w:val="both"/>
        <w:spacing w:before="0" w:after="0"/>
        <w:widowControl w:val="off"/>
        <w:tabs>
          <w:tab w:val="clear" w:pos="708" w:leader="none"/>
          <w:tab w:val="left" w:pos="1134" w:leader="none"/>
        </w:tabs>
      </w:pPr>
      <w:r>
        <w:rPr>
          <w:bCs/>
          <w:color w:val="000000" w:themeColor="text1"/>
        </w:rPr>
        <w:t xml:space="preserve"> </w:t>
      </w:r>
      <w:r>
        <w:rPr>
          <w:szCs w:val="23"/>
        </w:rPr>
        <w:t xml:space="preserve">Внесение изменений в сметную документацию заказчика, кроме применения понижающего коэффициента в соответствии с п.4.1.1. не допускается.</w:t>
      </w:r>
      <w:r/>
    </w:p>
    <w:p>
      <w:pPr>
        <w:pStyle w:val="980"/>
        <w:numPr>
          <w:ilvl w:val="1"/>
          <w:numId w:val="17"/>
        </w:numPr>
        <w:contextualSpacing/>
        <w:ind w:left="0" w:firstLine="709"/>
        <w:jc w:val="both"/>
        <w:spacing w:before="0" w:after="0"/>
        <w:widowControl w:val="off"/>
        <w:tabs>
          <w:tab w:val="clear" w:pos="708" w:leader="none"/>
          <w:tab w:val="left" w:pos="1134" w:leader="none"/>
        </w:tabs>
      </w:pPr>
      <w:r>
        <w:rPr>
          <w:szCs w:val="23"/>
          <w:u w:val="single"/>
        </w:rPr>
        <w:t xml:space="preserve">Требования к оформлению и составлению сметной документации (на этапе исполнения договора):</w:t>
      </w:r>
      <w:r/>
    </w:p>
    <w:p>
      <w:pPr>
        <w:pStyle w:val="980"/>
        <w:numPr>
          <w:ilvl w:val="2"/>
          <w:numId w:val="17"/>
        </w:numPr>
        <w:contextualSpacing/>
        <w:ind w:left="0" w:firstLine="709"/>
        <w:jc w:val="both"/>
        <w:spacing w:before="0" w:after="0"/>
        <w:widowControl w:val="off"/>
        <w:tabs>
          <w:tab w:val="clear" w:pos="708" w:leader="none"/>
          <w:tab w:val="left" w:pos="1134" w:leader="none"/>
        </w:tabs>
      </w:pPr>
      <w:r>
        <w:rPr>
          <w:szCs w:val="23"/>
        </w:rPr>
        <w:t xml:space="preserve">В случае возникновения непредвиденных расходов, в рамках реализации договора необходимо составлять и оф</w:t>
      </w:r>
      <w:r>
        <w:rPr>
          <w:szCs w:val="23"/>
        </w:rPr>
        <w:t xml:space="preserve">ормлять сметную документацию в обоснование данных затрат в соответствии с требованиями, указанными в приложении № 4 к настоящим Техническим требованиям, с применением понижающего коэффициента, определённого по результатам конкурентной процедуры (п. 4.1.1).</w:t>
      </w:r>
      <w:r/>
    </w:p>
    <w:p>
      <w:pPr>
        <w:pStyle w:val="980"/>
        <w:contextualSpacing/>
        <w:ind w:left="0" w:firstLine="709"/>
        <w:jc w:val="both"/>
        <w:spacing w:before="0" w:after="0"/>
        <w:shd w:val="clear" w:color="auto" w:fill="ffffff"/>
        <w:tabs>
          <w:tab w:val="clear" w:pos="708" w:leader="none"/>
          <w:tab w:val="left" w:pos="709" w:leader="none"/>
        </w:tabs>
        <w:rPr>
          <w:color w:val="000000" w:themeColor="text1"/>
        </w:rPr>
      </w:pPr>
      <w:r>
        <w:rPr>
          <w:color w:val="000000" w:themeColor="text1"/>
        </w:rPr>
        <w:t xml:space="preserve">Заключение дополнительного соглашения на увеличение стоимости работ производится после использования резерва средств на непредвиденные работы и затраты. В дополнительном соглашении резерв средств на непредвиденные работы и затраты не предусматривается.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980"/>
        <w:contextualSpacing/>
        <w:ind w:left="284" w:firstLine="0"/>
        <w:jc w:val="both"/>
        <w:spacing w:before="0" w:after="0"/>
        <w:shd w:val="clear" w:color="auto" w:fill="ffffff"/>
        <w:tabs>
          <w:tab w:val="clear" w:pos="708" w:leader="none"/>
          <w:tab w:val="left" w:pos="709" w:leader="none"/>
        </w:tabs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64"/>
        <w:numPr>
          <w:ilvl w:val="0"/>
          <w:numId w:val="0"/>
        </w:numPr>
        <w:ind w:left="0" w:firstLine="0"/>
        <w:jc w:val="center"/>
        <w:keepLines/>
        <w:spacing w:before="0" w:after="0"/>
        <w:rPr>
          <w:iCs/>
          <w:caps/>
        </w:rPr>
      </w:pPr>
      <w:r>
        <w:rPr>
          <w:iCs/>
        </w:rPr>
        <w:t xml:space="preserve">5. Приложения</w:t>
      </w:r>
      <w:r>
        <w:rPr>
          <w:iCs/>
          <w:caps/>
        </w:rPr>
      </w:r>
      <w:r>
        <w:rPr>
          <w:iCs/>
          <w:caps/>
        </w:rPr>
      </w:r>
    </w:p>
    <w:p>
      <w:pPr>
        <w:pStyle w:val="863"/>
      </w:pPr>
      <w:r/>
      <w:r/>
    </w:p>
    <w:p>
      <w:pPr>
        <w:pStyle w:val="863"/>
        <w:ind w:right="97" w:firstLine="0"/>
        <w:jc w:val="both"/>
        <w:spacing w:line="360" w:lineRule="auto"/>
        <w:widowControl w:val="off"/>
        <w:rPr>
          <w:bCs/>
          <w:i/>
          <w:sz w:val="24"/>
          <w:szCs w:val="24"/>
          <w:highlight w:val="none"/>
        </w:rPr>
      </w:pPr>
      <w:r>
        <w:rPr>
          <w:sz w:val="24"/>
          <w:szCs w:val="24"/>
        </w:rPr>
        <w:t xml:space="preserve">Приложение № 1 - Ведомость объемов работ.</w:t>
      </w:r>
      <w:r>
        <w:rPr>
          <w:bCs/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</w:p>
    <w:p>
      <w:pPr>
        <w:pStyle w:val="863"/>
        <w:ind w:right="97" w:firstLine="0"/>
        <w:jc w:val="both"/>
        <w:spacing w:line="360" w:lineRule="auto"/>
        <w:widowControl w:val="off"/>
        <w:rPr>
          <w:bCs w:val="0"/>
          <w:i w:val="0"/>
          <w:sz w:val="24"/>
          <w:szCs w:val="24"/>
          <w:highlight w:val="none"/>
        </w:rPr>
      </w:pPr>
      <w:r>
        <w:rPr>
          <w:bCs/>
          <w:i w:val="0"/>
          <w:iCs w:val="0"/>
          <w:sz w:val="24"/>
          <w:szCs w:val="24"/>
        </w:rPr>
        <w:t xml:space="preserve">Приложение №1.1 – Ведомость материалов подрядчика.</w:t>
      </w:r>
      <w:r>
        <w:rPr>
          <w:bCs w:val="0"/>
          <w:i w:val="0"/>
          <w:sz w:val="24"/>
          <w:szCs w:val="24"/>
          <w:highlight w:val="none"/>
        </w:rPr>
      </w:r>
      <w:r>
        <w:rPr>
          <w:bCs w:val="0"/>
          <w:i w:val="0"/>
          <w:sz w:val="24"/>
          <w:szCs w:val="24"/>
          <w:highlight w:val="none"/>
        </w:rPr>
      </w:r>
    </w:p>
    <w:p>
      <w:pPr>
        <w:pStyle w:val="863"/>
        <w:jc w:val="both"/>
        <w:spacing w:line="360" w:lineRule="auto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Приложение № 2 - Сводный сметный расчёт.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63"/>
        <w:jc w:val="both"/>
        <w:spacing w:line="360" w:lineRule="auto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Приложение №2.1 – Локальный сметный расчет (участок 1)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63"/>
        <w:jc w:val="both"/>
        <w:spacing w:line="360" w:lineRule="auto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Приложение №2.2 – Локальный сметный расчет (участок 2)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63"/>
        <w:ind w:right="97" w:firstLine="0"/>
        <w:jc w:val="both"/>
        <w:spacing w:line="360" w:lineRule="auto"/>
        <w:widowControl w:val="off"/>
        <w:rPr>
          <w:bCs/>
          <w:i/>
          <w:sz w:val="24"/>
          <w:szCs w:val="24"/>
          <w:highlight w:val="none"/>
        </w:rPr>
      </w:pPr>
      <w:r>
        <w:rPr>
          <w:sz w:val="24"/>
          <w:szCs w:val="24"/>
        </w:rPr>
        <w:t xml:space="preserve">Приложение №3 – Локально-нормативные акты.</w:t>
      </w:r>
      <w:r>
        <w:rPr>
          <w:bCs/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</w:p>
    <w:p>
      <w:pPr>
        <w:pStyle w:val="863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№4 - </w:t>
      </w:r>
      <w:r>
        <w:rPr>
          <w:color w:val="000000" w:themeColor="text1"/>
          <w:sz w:val="24"/>
          <w:szCs w:val="24"/>
        </w:rPr>
        <w:t xml:space="preserve">Требования к оформлению и составлению сметной документации на выполнение работ по программе ремонтов, реконструкции и техническому перевооружению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63"/>
        <w:ind w:right="97" w:firstLine="0"/>
        <w:jc w:val="both"/>
        <w:spacing w:line="360" w:lineRule="auto"/>
        <w:widowControl w:val="off"/>
        <w:rPr>
          <w:bCs/>
          <w:i w:val="0"/>
          <w:iCs w:val="0"/>
          <w:sz w:val="24"/>
          <w:szCs w:val="24"/>
          <w:highlight w:val="none"/>
        </w:rPr>
      </w:pPr>
      <w:r>
        <w:rPr>
          <w:bCs/>
          <w:i w:val="0"/>
          <w:iCs w:val="0"/>
          <w:sz w:val="24"/>
          <w:szCs w:val="24"/>
        </w:rPr>
      </w:r>
      <w:r>
        <w:rPr>
          <w:bCs/>
          <w:i w:val="0"/>
          <w:iCs w:val="0"/>
          <w:sz w:val="24"/>
          <w:szCs w:val="24"/>
          <w:highlight w:val="none"/>
        </w:rPr>
        <w:t xml:space="preserve">Приложение №5 - Форма (Общий журнал работ)</w:t>
      </w:r>
      <w:r>
        <w:rPr>
          <w:bCs/>
          <w:i w:val="0"/>
          <w:iCs w:val="0"/>
          <w:sz w:val="24"/>
          <w:szCs w:val="24"/>
          <w:highlight w:val="none"/>
        </w:rPr>
      </w:r>
      <w:r>
        <w:rPr>
          <w:bCs/>
          <w:i w:val="0"/>
          <w:iCs w:val="0"/>
          <w:sz w:val="24"/>
          <w:szCs w:val="24"/>
          <w:highlight w:val="none"/>
        </w:rPr>
      </w:r>
    </w:p>
    <w:p>
      <w:pPr>
        <w:pStyle w:val="863"/>
      </w:pPr>
      <w:r/>
      <w:r/>
    </w:p>
    <w:sectPr>
      <w:headerReference w:type="default" r:id="rId14"/>
      <w:headerReference w:type="first" r:id="rId15"/>
      <w:footerReference w:type="default" r:id="rId19"/>
      <w:footerReference w:type="first" r:id="rId20"/>
      <w:footnotePr/>
      <w:endnotePr/>
      <w:type w:val="nextPage"/>
      <w:pgSz w:w="11906" w:h="16838" w:orient="portrait"/>
      <w:pgMar w:top="1134" w:right="851" w:bottom="794" w:left="1134" w:header="680" w:footer="737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 Sans">
    <w:panose1 w:val="020B0606030504020204"/>
  </w:font>
  <w:font w:name="Symbol">
    <w:panose1 w:val="05010000000000000000"/>
  </w:font>
  <w:font w:name="Courier New">
    <w:panose1 w:val="02070309020205020404"/>
  </w:font>
  <w:font w:name="Garamond">
    <w:panose1 w:val="02020603050405020304"/>
  </w:font>
  <w:font w:name="Verdana">
    <w:panose1 w:val="020B0604030504040204"/>
  </w:font>
  <w:font w:name="calibri light (Заголовки)">
    <w:panose1 w:val="020F0502020204030204"/>
  </w:font>
  <w:font w:name="Tahoma">
    <w:panose1 w:val="020B0604030504040204"/>
  </w:font>
  <w:font w:name="Noto Sans CJK SC">
    <w:panose1 w:val="020B0502040504020204"/>
  </w:font>
  <w:font w:name="Cambria">
    <w:panose1 w:val="02040803050406030204"/>
  </w:font>
  <w:font w:name="Calibri">
    <w:panose1 w:val="020F0502020204030204"/>
  </w:font>
  <w:font w:name="Wingdings">
    <w:panose1 w:val="05010000000000000000"/>
  </w:font>
  <w:font w:name="Liberation Sans">
    <w:panose1 w:val="020B0604020202020204"/>
  </w:font>
  <w:font w:name="Noto Serif CJK SC">
    <w:panose1 w:val="020B0502040504020204"/>
  </w:font>
  <w:font w:name="Arial">
    <w:panose1 w:val="020B0604020202020204"/>
  </w:font>
  <w:font w:name="Arial Unicode MS">
    <w:panose1 w:val="020B0604020202020204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6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6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3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6"/>
    </w:pPr>
    <w:r/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4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4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4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954"/>
                            <w:rPr>
                              <w:rStyle w:val="896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896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896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896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896"/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rStyle w:val="896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896"/>
                            </w:rPr>
                          </w:r>
                          <w:r>
                            <w:rPr>
                              <w:rStyle w:val="896"/>
                            </w:rPr>
                          </w:r>
                        </w:p>
                      </w:txbxContent>
                    </wps:txbx>
                    <wps:bodyPr lIns="36360" tIns="-21240" rIns="36360" bIns="-2124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1" type="#_x0000_t1" style="position:absolute;z-index:2;o:allowoverlap:true;o:allowincell:false;mso-position-horizontal-relative:margin;mso-position-horizontal:center;mso-position-vertical-relative:text;margin-top:0.05pt;mso-position-vertical:absolute;width:1.15pt;height:1.15pt;mso-wrap-distance-left:0.00pt;mso-wrap-distance-top:0.00pt;mso-wrap-distance-right:0.00pt;mso-wrap-distance-bottom:0.00pt;v-text-anchor:top;visibility:visible;" filled="f" stroked="f" strokeweight="0.00pt">
              <w10:wrap type="square"/>
              <v:textbox inset="0,0,0,0">
                <w:txbxContent>
                  <w:p>
                    <w:pPr>
                      <w:pStyle w:val="954"/>
                      <w:rPr>
                        <w:rStyle w:val="896"/>
                      </w:rPr>
                    </w:pPr>
                    <w:r>
                      <w:rPr>
                        <w:color w:val="000000"/>
                      </w:rPr>
                      <w:fldChar w:fldCharType="begin"/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 xml:space="preserve">0</w:t>
                    </w:r>
                    <w:r>
                      <w:rPr>
                        <w:color w:val="000000"/>
                      </w:rPr>
                      <w:fldChar w:fldCharType="end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 xml:space="preserve">0</w:t>
                    </w:r>
                    <w:r>
                      <w:rPr>
                        <w:color w:val="000000"/>
                      </w:rPr>
                      <w:fldChar w:fldCharType="end"/>
                    </w:r>
                    <w:r>
                      <w:rPr>
                        <w:rStyle w:val="896"/>
                        <w:color w:val="000000"/>
                      </w:rPr>
                      <w:fldChar w:fldCharType="begin"/>
                    </w:r>
                    <w:r>
                      <w:rPr>
                        <w:rStyle w:val="896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896"/>
                        <w:color w:val="000000"/>
                      </w:rPr>
                      <w:fldChar w:fldCharType="separate"/>
                    </w:r>
                    <w:r>
                      <w:rPr>
                        <w:rStyle w:val="896"/>
                        <w:color w:val="000000"/>
                      </w:rPr>
                      <w:t xml:space="preserve">0</w:t>
                    </w:r>
                    <w:r>
                      <w:rPr>
                        <w:rStyle w:val="896"/>
                        <w:color w:val="000000"/>
                      </w:rPr>
                      <w:fldChar w:fldCharType="end"/>
                    </w:r>
                    <w:r>
                      <w:rPr>
                        <w:rStyle w:val="896"/>
                      </w:rPr>
                    </w:r>
                    <w:r>
                      <w:rPr>
                        <w:rStyle w:val="896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4"/>
      <w:jc w:val="center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4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15</w:t>
    </w:r>
    <w:r>
      <w:fldChar w:fldCharType="end"/>
    </w:r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4"/>
      <w:jc w:val="center"/>
    </w:pPr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4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19</w:t>
    </w:r>
    <w:r>
      <w:fldChar w:fldCharType="end"/>
    </w:r>
    <w:r/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4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46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pStyle w:val="947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</w:lvl>
  </w:abstractNum>
  <w:abstractNum w:abstractNumId="1">
    <w:multiLevelType w:val="hybridMultilevel"/>
    <w:lvl w:ilvl="0">
      <w:start w:val="4"/>
      <w:numFmt w:val="bullet"/>
      <w:pStyle w:val="988"/>
      <w:isLgl w:val="false"/>
      <w:suff w:val="tab"/>
      <w:lvlText w:val="-"/>
      <w:lvlJc w:val="left"/>
      <w:pPr>
        <w:ind w:left="-207" w:hanging="360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pStyle w:val="989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pStyle w:val="987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  <w:rPr>
        <w:b w:val="0"/>
        <w:bCs/>
        <w:i w:val="0"/>
        <w:iCs/>
        <w:sz w:val="24"/>
        <w:szCs w:val="24"/>
      </w:rPr>
    </w:lvl>
    <w:lvl w:ilvl="2">
      <w:start w:val="1"/>
      <w:numFmt w:val="decimal"/>
      <w:pStyle w:val="866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  <w:tabs>
          <w:tab w:val="num" w:pos="0" w:leader="none"/>
        </w:tabs>
      </w:pPr>
    </w:lvl>
    <w:lvl w:ilvl="3">
      <w:start w:val="1"/>
      <w:numFmt w:val="russianLower"/>
      <w:pStyle w:val="998"/>
      <w:isLgl w:val="false"/>
      <w:suff w:val="tab"/>
      <w:lvlText w:val="(%4)"/>
      <w:lvlJc w:val="left"/>
      <w:pPr>
        <w:ind w:left="1985" w:hanging="567"/>
        <w:tabs>
          <w:tab w:val="num" w:pos="0" w:leader="none"/>
        </w:tabs>
      </w:pPr>
    </w:lvl>
    <w:lvl w:ilvl="4">
      <w:start w:val="1"/>
      <w:numFmt w:val="bullet"/>
      <w:pStyle w:val="999"/>
      <w:isLgl w:val="false"/>
      <w:suff w:val="tab"/>
      <w:lvlText w:val="–"/>
      <w:lvlJc w:val="left"/>
      <w:pPr>
        <w:ind w:left="2268" w:hanging="567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5">
      <w:start w:val="1"/>
      <w:numFmt w:val="none"/>
      <w:pStyle w:val="1002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  <w:lvl w:ilvl="6">
      <w:start w:val="1"/>
      <w:numFmt w:val="none"/>
      <w:pStyle w:val="1000"/>
      <w:isLgl w:val="false"/>
      <w:suff w:val="nothing"/>
      <w:lvlText w:val=""/>
      <w:lvlJc w:val="left"/>
      <w:pPr>
        <w:ind w:left="1701" w:firstLine="0"/>
        <w:tabs>
          <w:tab w:val="num" w:pos="0" w:leader="none"/>
        </w:tabs>
      </w:pPr>
    </w:lvl>
    <w:lvl w:ilvl="7">
      <w:start w:val="1"/>
      <w:numFmt w:val="none"/>
      <w:pStyle w:val="1001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decimal"/>
      <w:pStyle w:val="1005"/>
      <w:isLgl w:val="false"/>
      <w:suff w:val="tab"/>
      <w:lvlText w:val="1.%1"/>
      <w:lvlJc w:val="left"/>
      <w:pPr>
        <w:ind w:left="142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  <w:tabs>
          <w:tab w:val="num" w:pos="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  <w:tabs>
          <w:tab w:val="num" w:pos="0" w:leader="none"/>
        </w:tabs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76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9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16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36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5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76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96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1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36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76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9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16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36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5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76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96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1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36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72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92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12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32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52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72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92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12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32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6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64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66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86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0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526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46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6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86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05" w:hanging="705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0" w:leader="none"/>
        </w:tabs>
      </w:pPr>
      <w:rPr>
        <w:b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0" w:leader="none"/>
        </w:tabs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1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  <w:tabs>
          <w:tab w:val="num" w:pos="0" w:leader="none"/>
        </w:tabs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  <w:tabs>
          <w:tab w:val="num" w:pos="0" w:leader="none"/>
        </w:tabs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2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Noto Serif CJK SC" w:cs="Arial Unicode MS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63" w:default="1">
    <w:name w:val="Normal"/>
    <w:qFormat/>
    <w:pPr>
      <w:jc w:val="left"/>
      <w:spacing w:before="0" w:after="0"/>
      <w:widowControl/>
    </w:pPr>
    <w:rPr>
      <w:rFonts w:ascii="Times New Roman" w:hAnsi="Times New Roman" w:eastAsia="Noto Serif CJK SC" w:cs="Arial Unicode MS"/>
      <w:color w:val="auto"/>
      <w:sz w:val="28"/>
      <w:szCs w:val="28"/>
      <w:lang w:val="ru-RU" w:eastAsia="ru-RU" w:bidi="ar-SA"/>
    </w:rPr>
  </w:style>
  <w:style w:type="paragraph" w:styleId="864">
    <w:name w:val="Heading 1"/>
    <w:basedOn w:val="866"/>
    <w:next w:val="863"/>
    <w:link w:val="903"/>
    <w:qFormat/>
    <w:pPr>
      <w:numPr>
        <w:ilvl w:val="0"/>
      </w:numPr>
      <w:outlineLvl w:val="0"/>
    </w:pPr>
    <w:rPr>
      <w:sz w:val="28"/>
      <w:szCs w:val="28"/>
    </w:rPr>
  </w:style>
  <w:style w:type="paragraph" w:styleId="865">
    <w:name w:val="Heading 2"/>
    <w:basedOn w:val="867"/>
    <w:next w:val="863"/>
    <w:link w:val="904"/>
    <w:qFormat/>
    <w:pPr>
      <w:outlineLvl w:val="1"/>
    </w:pPr>
  </w:style>
  <w:style w:type="paragraph" w:styleId="866">
    <w:name w:val="Heading 3"/>
    <w:basedOn w:val="863"/>
    <w:next w:val="863"/>
    <w:link w:val="905"/>
    <w:qFormat/>
    <w:pPr>
      <w:numPr>
        <w:ilvl w:val="2"/>
        <w:numId w:val="3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867">
    <w:name w:val="Heading 4"/>
    <w:basedOn w:val="866"/>
    <w:next w:val="863"/>
    <w:link w:val="906"/>
    <w:qFormat/>
    <w:pPr>
      <w:numPr>
        <w:ilvl w:val="1"/>
      </w:numPr>
      <w:outlineLvl w:val="3"/>
    </w:pPr>
    <w:rPr>
      <w:bCs/>
    </w:rPr>
  </w:style>
  <w:style w:type="paragraph" w:styleId="868">
    <w:name w:val="Heading 5"/>
    <w:basedOn w:val="863"/>
    <w:next w:val="863"/>
    <w:link w:val="907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69">
    <w:name w:val="Heading 6"/>
    <w:basedOn w:val="863"/>
    <w:next w:val="863"/>
    <w:link w:val="900"/>
    <w:uiPriority w:val="9"/>
    <w:qFormat/>
    <w:pPr>
      <w:keepLines/>
      <w:keepNext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870">
    <w:name w:val="Heading 7"/>
    <w:basedOn w:val="863"/>
    <w:next w:val="863"/>
    <w:link w:val="901"/>
    <w:uiPriority w:val="9"/>
    <w:qFormat/>
    <w:pPr>
      <w:keepLines/>
      <w:keepNext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71">
    <w:name w:val="Heading 8"/>
    <w:basedOn w:val="863"/>
    <w:next w:val="863"/>
    <w:link w:val="902"/>
    <w:uiPriority w:val="9"/>
    <w:qFormat/>
    <w:pPr>
      <w:keepLines/>
      <w:keepNext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872">
    <w:name w:val="Heading 9"/>
    <w:basedOn w:val="863"/>
    <w:next w:val="863"/>
    <w:link w:val="908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873" w:default="1">
    <w:name w:val="Default Paragraph Font"/>
    <w:uiPriority w:val="1"/>
    <w:semiHidden/>
    <w:unhideWhenUsed/>
    <w:qFormat/>
  </w:style>
  <w:style w:type="character" w:styleId="874" w:customStyle="1">
    <w:name w:val="Title Char"/>
    <w:basedOn w:val="873"/>
    <w:uiPriority w:val="10"/>
    <w:qFormat/>
    <w:rPr>
      <w:sz w:val="48"/>
      <w:szCs w:val="48"/>
    </w:rPr>
  </w:style>
  <w:style w:type="character" w:styleId="875" w:customStyle="1">
    <w:name w:val="Caption Char"/>
    <w:uiPriority w:val="99"/>
    <w:qFormat/>
  </w:style>
  <w:style w:type="character" w:styleId="876" w:customStyle="1">
    <w:name w:val="Heading 1 Char"/>
    <w:basedOn w:val="873"/>
    <w:uiPriority w:val="9"/>
    <w:qFormat/>
    <w:rPr>
      <w:rFonts w:ascii="Arial" w:hAnsi="Arial" w:eastAsia="Arial" w:cs="Arial"/>
      <w:sz w:val="40"/>
      <w:szCs w:val="40"/>
    </w:rPr>
  </w:style>
  <w:style w:type="character" w:styleId="877" w:customStyle="1">
    <w:name w:val="Heading 2 Char"/>
    <w:basedOn w:val="873"/>
    <w:uiPriority w:val="9"/>
    <w:qFormat/>
    <w:rPr>
      <w:rFonts w:ascii="Arial" w:hAnsi="Arial" w:eastAsia="Arial" w:cs="Arial"/>
      <w:sz w:val="34"/>
    </w:rPr>
  </w:style>
  <w:style w:type="character" w:styleId="878" w:customStyle="1">
    <w:name w:val="Heading 3 Char"/>
    <w:basedOn w:val="873"/>
    <w:uiPriority w:val="9"/>
    <w:qFormat/>
    <w:rPr>
      <w:rFonts w:ascii="Arial" w:hAnsi="Arial" w:eastAsia="Arial" w:cs="Arial"/>
      <w:sz w:val="30"/>
      <w:szCs w:val="30"/>
    </w:rPr>
  </w:style>
  <w:style w:type="character" w:styleId="879" w:customStyle="1">
    <w:name w:val="Heading 4 Char"/>
    <w:basedOn w:val="873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880" w:customStyle="1">
    <w:name w:val="Heading 5 Char"/>
    <w:basedOn w:val="873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881" w:customStyle="1">
    <w:name w:val="Heading 6 Char"/>
    <w:basedOn w:val="873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882" w:customStyle="1">
    <w:name w:val="Heading 7 Char"/>
    <w:basedOn w:val="873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83" w:customStyle="1">
    <w:name w:val="Heading 8 Char"/>
    <w:basedOn w:val="873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884" w:customStyle="1">
    <w:name w:val="Heading 9 Char"/>
    <w:basedOn w:val="873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885" w:customStyle="1">
    <w:name w:val="Заголовок Знак"/>
    <w:basedOn w:val="873"/>
    <w:uiPriority w:val="10"/>
    <w:qFormat/>
    <w:rPr>
      <w:sz w:val="48"/>
      <w:szCs w:val="48"/>
    </w:rPr>
  </w:style>
  <w:style w:type="character" w:styleId="886" w:customStyle="1">
    <w:name w:val="Subtitle Char"/>
    <w:basedOn w:val="873"/>
    <w:uiPriority w:val="11"/>
    <w:qFormat/>
    <w:rPr>
      <w:sz w:val="24"/>
      <w:szCs w:val="24"/>
    </w:rPr>
  </w:style>
  <w:style w:type="character" w:styleId="887" w:customStyle="1">
    <w:name w:val="Quote Char"/>
    <w:uiPriority w:val="29"/>
    <w:qFormat/>
    <w:rPr>
      <w:i/>
    </w:rPr>
  </w:style>
  <w:style w:type="character" w:styleId="888" w:customStyle="1">
    <w:name w:val="Intense Quote Char"/>
    <w:uiPriority w:val="30"/>
    <w:qFormat/>
    <w:rPr>
      <w:i/>
    </w:rPr>
  </w:style>
  <w:style w:type="character" w:styleId="889" w:customStyle="1">
    <w:name w:val="Header Char"/>
    <w:basedOn w:val="873"/>
    <w:uiPriority w:val="99"/>
    <w:qFormat/>
  </w:style>
  <w:style w:type="character" w:styleId="890" w:customStyle="1">
    <w:name w:val="Footer Char"/>
    <w:basedOn w:val="873"/>
    <w:uiPriority w:val="99"/>
    <w:qFormat/>
  </w:style>
  <w:style w:type="character" w:styleId="891" w:customStyle="1">
    <w:name w:val="Нижний колонтитул Знак"/>
    <w:uiPriority w:val="99"/>
    <w:qFormat/>
  </w:style>
  <w:style w:type="character" w:styleId="892" w:customStyle="1">
    <w:name w:val="Footnote Text Char"/>
    <w:uiPriority w:val="99"/>
    <w:qFormat/>
    <w:rPr>
      <w:sz w:val="18"/>
    </w:rPr>
  </w:style>
  <w:style w:type="character" w:styleId="893" w:customStyle="1">
    <w:name w:val="Endnote Text Char"/>
    <w:uiPriority w:val="99"/>
    <w:qFormat/>
    <w:rPr>
      <w:sz w:val="20"/>
    </w:rPr>
  </w:style>
  <w:style w:type="character" w:styleId="894">
    <w:name w:val="Символ сноски"/>
    <w:qFormat/>
    <w:rPr>
      <w:vertAlign w:val="superscript"/>
    </w:rPr>
  </w:style>
  <w:style w:type="character" w:styleId="895">
    <w:name w:val="footnote reference"/>
    <w:rPr>
      <w:vertAlign w:val="superscript"/>
    </w:rPr>
  </w:style>
  <w:style w:type="character" w:styleId="896">
    <w:name w:val="page number"/>
    <w:basedOn w:val="873"/>
    <w:qFormat/>
  </w:style>
  <w:style w:type="character" w:styleId="897">
    <w:name w:val="Hyperlink"/>
    <w:uiPriority w:val="99"/>
    <w:rPr>
      <w:color w:val="0000ff"/>
      <w:u w:val="single"/>
    </w:rPr>
  </w:style>
  <w:style w:type="character" w:styleId="898">
    <w:name w:val="annotation reference"/>
    <w:uiPriority w:val="99"/>
    <w:semiHidden/>
    <w:qFormat/>
    <w:rPr>
      <w:sz w:val="16"/>
      <w:szCs w:val="16"/>
    </w:rPr>
  </w:style>
  <w:style w:type="character" w:styleId="899">
    <w:name w:val="Strong"/>
    <w:qFormat/>
    <w:rPr>
      <w:b/>
      <w:bCs/>
    </w:rPr>
  </w:style>
  <w:style w:type="character" w:styleId="900" w:customStyle="1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styleId="901" w:customStyle="1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styleId="902" w:customStyle="1">
    <w:name w:val="Заголовок 8 Знак"/>
    <w:uiPriority w:val="9"/>
    <w:qFormat/>
    <w:rPr>
      <w:rFonts w:ascii="Cambria" w:hAnsi="Cambria"/>
      <w:color w:val="4f81bd"/>
    </w:rPr>
  </w:style>
  <w:style w:type="character" w:styleId="903" w:customStyle="1">
    <w:name w:val="Заголовок 1 Знак"/>
    <w:qFormat/>
    <w:rPr>
      <w:rFonts w:eastAsia="Calibri"/>
      <w:b/>
      <w:sz w:val="28"/>
      <w:szCs w:val="28"/>
    </w:rPr>
  </w:style>
  <w:style w:type="character" w:styleId="904" w:customStyle="1">
    <w:name w:val="Заголовок 2 Знак"/>
    <w:qFormat/>
    <w:rPr>
      <w:rFonts w:eastAsia="Calibri"/>
      <w:b/>
      <w:bCs/>
      <w:sz w:val="24"/>
      <w:szCs w:val="24"/>
    </w:rPr>
  </w:style>
  <w:style w:type="character" w:styleId="905" w:customStyle="1">
    <w:name w:val="Заголовок 3 Знак"/>
    <w:qFormat/>
    <w:rPr>
      <w:rFonts w:eastAsia="Calibri"/>
      <w:b/>
      <w:sz w:val="24"/>
      <w:szCs w:val="24"/>
    </w:rPr>
  </w:style>
  <w:style w:type="character" w:styleId="906" w:customStyle="1">
    <w:name w:val="Заголовок 4 Знак"/>
    <w:qFormat/>
    <w:rPr>
      <w:rFonts w:eastAsia="Calibri"/>
      <w:b/>
      <w:bCs/>
      <w:sz w:val="24"/>
      <w:szCs w:val="24"/>
    </w:rPr>
  </w:style>
  <w:style w:type="character" w:styleId="907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908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909" w:customStyle="1">
    <w:name w:val="Название Знак"/>
    <w:link w:val="952"/>
    <w:uiPriority w:val="10"/>
    <w:qFormat/>
    <w:rPr>
      <w:sz w:val="28"/>
    </w:rPr>
  </w:style>
  <w:style w:type="character" w:styleId="910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911">
    <w:name w:val="Emphasis"/>
    <w:uiPriority w:val="20"/>
    <w:qFormat/>
    <w:rPr>
      <w:i/>
      <w:iCs/>
    </w:rPr>
  </w:style>
  <w:style w:type="character" w:styleId="912" w:customStyle="1">
    <w:name w:val="Цитата 2 Знак"/>
    <w:link w:val="981"/>
    <w:uiPriority w:val="29"/>
    <w:qFormat/>
    <w:rPr>
      <w:rFonts w:ascii="Calibri" w:hAnsi="Calibri" w:eastAsia="Calibri"/>
      <w:i/>
      <w:iCs/>
      <w:color w:val="000000"/>
    </w:rPr>
  </w:style>
  <w:style w:type="character" w:styleId="913" w:customStyle="1">
    <w:name w:val="Выделенная цитата Знак"/>
    <w:link w:val="982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914">
    <w:name w:val="Subtle Emphasis"/>
    <w:uiPriority w:val="19"/>
    <w:qFormat/>
    <w:rPr>
      <w:i/>
      <w:iCs/>
      <w:color w:val="808080"/>
    </w:rPr>
  </w:style>
  <w:style w:type="character" w:styleId="915">
    <w:name w:val="Intense Emphasis"/>
    <w:uiPriority w:val="21"/>
    <w:qFormat/>
    <w:rPr>
      <w:b/>
      <w:bCs/>
      <w:i/>
      <w:iCs/>
      <w:color w:val="4f81bd"/>
    </w:rPr>
  </w:style>
  <w:style w:type="character" w:styleId="916">
    <w:name w:val="Subtle Reference"/>
    <w:uiPriority w:val="31"/>
    <w:qFormat/>
    <w:rPr>
      <w:smallCaps/>
      <w:color w:val="c0504d"/>
      <w:u w:val="single"/>
    </w:rPr>
  </w:style>
  <w:style w:type="character" w:styleId="917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18">
    <w:name w:val="Book Title"/>
    <w:uiPriority w:val="33"/>
    <w:qFormat/>
    <w:rPr>
      <w:b/>
      <w:bCs/>
      <w:smallCaps/>
      <w:spacing w:val="5"/>
    </w:rPr>
  </w:style>
  <w:style w:type="character" w:styleId="919" w:customStyle="1">
    <w:name w:val="Электронная подпись Знак"/>
    <w:link w:val="985"/>
    <w:uiPriority w:val="99"/>
    <w:qFormat/>
    <w:rPr>
      <w:rFonts w:eastAsia="Calibri"/>
      <w:sz w:val="24"/>
      <w:szCs w:val="24"/>
    </w:rPr>
  </w:style>
  <w:style w:type="character" w:styleId="920" w:customStyle="1">
    <w:name w:val="Подпункт Знак1"/>
    <w:link w:val="962"/>
    <w:qFormat/>
    <w:rPr>
      <w:sz w:val="28"/>
    </w:rPr>
  </w:style>
  <w:style w:type="character" w:styleId="921" w:customStyle="1">
    <w:name w:val="Текст сноски Знак"/>
    <w:uiPriority w:val="99"/>
    <w:qFormat/>
  </w:style>
  <w:style w:type="character" w:styleId="922" w:customStyle="1">
    <w:name w:val="Основной текст Знак"/>
    <w:qFormat/>
    <w:rPr>
      <w:sz w:val="28"/>
      <w:szCs w:val="28"/>
    </w:rPr>
  </w:style>
  <w:style w:type="character" w:styleId="923" w:customStyle="1">
    <w:name w:val="blk"/>
    <w:qFormat/>
  </w:style>
  <w:style w:type="character" w:styleId="924" w:customStyle="1">
    <w:name w:val="Абзац списка Знак"/>
    <w:link w:val="980"/>
    <w:uiPriority w:val="34"/>
    <w:qFormat/>
    <w:rPr>
      <w:rFonts w:eastAsia="Calibri"/>
      <w:sz w:val="24"/>
      <w:szCs w:val="24"/>
    </w:rPr>
  </w:style>
  <w:style w:type="character" w:styleId="925" w:customStyle="1">
    <w:name w:val="комментарий"/>
    <w:qFormat/>
    <w:rPr>
      <w:b/>
      <w:i/>
      <w:shd w:val="clear" w:color="auto" w:fill="ffff99"/>
    </w:rPr>
  </w:style>
  <w:style w:type="character" w:styleId="926" w:customStyle="1">
    <w:name w:val="Подподпункт Знак"/>
    <w:link w:val="997"/>
    <w:qFormat/>
    <w:rPr>
      <w:sz w:val="26"/>
      <w:szCs w:val="26"/>
    </w:rPr>
  </w:style>
  <w:style w:type="character" w:styleId="927" w:customStyle="1">
    <w:name w:val="УРОВЕНЬ_Абзац_тип3 Знак"/>
    <w:link w:val="1001"/>
    <w:qFormat/>
    <w:rPr>
      <w:rFonts w:eastAsia="Calibri"/>
      <w:sz w:val="26"/>
      <w:szCs w:val="28"/>
      <w:lang w:eastAsia="en-US"/>
    </w:rPr>
  </w:style>
  <w:style w:type="character" w:styleId="928" w:customStyle="1">
    <w:name w:val="Верхний колонтитул Знак"/>
    <w:uiPriority w:val="99"/>
    <w:qFormat/>
    <w:rPr>
      <w:sz w:val="24"/>
      <w:szCs w:val="24"/>
    </w:rPr>
  </w:style>
  <w:style w:type="character" w:styleId="929" w:customStyle="1">
    <w:name w:val="Текст примечания Знак"/>
    <w:link w:val="970"/>
    <w:semiHidden/>
    <w:qFormat/>
  </w:style>
  <w:style w:type="character" w:styleId="930" w:customStyle="1">
    <w:name w:val="Текст концевой сноски Знак"/>
    <w:basedOn w:val="873"/>
    <w:qFormat/>
  </w:style>
  <w:style w:type="character" w:styleId="931">
    <w:name w:val="Символ концевой сноски"/>
    <w:qFormat/>
    <w:rPr>
      <w:vertAlign w:val="superscript"/>
    </w:rPr>
  </w:style>
  <w:style w:type="character" w:styleId="932">
    <w:name w:val="endnote reference"/>
    <w:rPr>
      <w:vertAlign w:val="superscript"/>
    </w:rPr>
  </w:style>
  <w:style w:type="character" w:styleId="933" w:customStyle="1">
    <w:name w:val="Пункт2 Знак"/>
    <w:link w:val="963"/>
    <w:qFormat/>
    <w:rPr>
      <w:b/>
      <w:sz w:val="28"/>
    </w:rPr>
  </w:style>
  <w:style w:type="character" w:styleId="934" w:customStyle="1">
    <w:name w:val="УРОВЕНЬ_1. Знак"/>
    <w:link w:val="1008"/>
    <w:qFormat/>
    <w:rPr>
      <w:rFonts w:eastAsia="Calibri"/>
      <w:caps/>
      <w:sz w:val="28"/>
      <w:szCs w:val="28"/>
      <w:lang w:eastAsia="en-US"/>
    </w:rPr>
  </w:style>
  <w:style w:type="character" w:styleId="935" w:customStyle="1">
    <w:name w:val="Неразрешенное упоминание1"/>
    <w:basedOn w:val="873"/>
    <w:uiPriority w:val="99"/>
    <w:semiHidden/>
    <w:unhideWhenUsed/>
    <w:qFormat/>
    <w:rPr>
      <w:color w:val="605e5c"/>
      <w:shd w:val="clear" w:color="auto" w:fill="e1dfdd"/>
    </w:rPr>
  </w:style>
  <w:style w:type="character" w:styleId="936" w:customStyle="1">
    <w:name w:val="Основной текст с отступом 3 Знак"/>
    <w:link w:val="959"/>
    <w:qFormat/>
    <w:rPr>
      <w:sz w:val="16"/>
      <w:szCs w:val="16"/>
    </w:rPr>
  </w:style>
  <w:style w:type="character" w:styleId="937" w:customStyle="1">
    <w:name w:val="Font Style17"/>
    <w:qFormat/>
    <w:rPr>
      <w:rFonts w:ascii="Times New Roman" w:hAnsi="Times New Roman"/>
      <w:sz w:val="20"/>
      <w:szCs w:val="20"/>
    </w:rPr>
  </w:style>
  <w:style w:type="paragraph" w:styleId="938">
    <w:name w:val="Заголовок"/>
    <w:basedOn w:val="863"/>
    <w:next w:val="939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939">
    <w:name w:val="Body Text"/>
    <w:basedOn w:val="863"/>
    <w:link w:val="922"/>
    <w:pPr>
      <w:spacing w:before="0" w:after="120"/>
    </w:pPr>
  </w:style>
  <w:style w:type="paragraph" w:styleId="940">
    <w:name w:val="List"/>
    <w:basedOn w:val="939"/>
    <w:rPr>
      <w:rFonts w:cs="Arial Unicode MS"/>
    </w:rPr>
  </w:style>
  <w:style w:type="paragraph" w:styleId="941">
    <w:name w:val="Caption"/>
    <w:basedOn w:val="863"/>
    <w:next w:val="863"/>
    <w:link w:val="875"/>
    <w:uiPriority w:val="35"/>
    <w:qFormat/>
    <w:rPr>
      <w:rFonts w:eastAsia="Calibri"/>
      <w:b/>
      <w:bCs/>
      <w:color w:val="4f81bd"/>
      <w:sz w:val="18"/>
      <w:szCs w:val="18"/>
    </w:rPr>
  </w:style>
  <w:style w:type="paragraph" w:styleId="942">
    <w:name w:val="Указатель"/>
    <w:basedOn w:val="863"/>
    <w:qFormat/>
    <w:pPr>
      <w:suppressLineNumbers/>
    </w:pPr>
    <w:rPr>
      <w:rFonts w:cs="Arial Unicode MS"/>
    </w:rPr>
  </w:style>
  <w:style w:type="paragraph" w:styleId="943">
    <w:name w:val="Title"/>
    <w:basedOn w:val="863"/>
    <w:next w:val="863"/>
    <w:link w:val="885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944">
    <w:name w:val="table of figures"/>
    <w:basedOn w:val="863"/>
    <w:next w:val="863"/>
    <w:uiPriority w:val="99"/>
    <w:unhideWhenUsed/>
    <w:qFormat/>
  </w:style>
  <w:style w:type="paragraph" w:styleId="945" w:customStyle="1">
    <w:name w:val="Название раздела инструкции"/>
    <w:basedOn w:val="863"/>
    <w:qFormat/>
    <w:pPr>
      <w:jc w:val="center"/>
    </w:pPr>
    <w:rPr>
      <w:b/>
    </w:rPr>
  </w:style>
  <w:style w:type="paragraph" w:styleId="946" w:customStyle="1">
    <w:name w:val="Раздел положения"/>
    <w:basedOn w:val="863"/>
    <w:qFormat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47" w:customStyle="1">
    <w:name w:val="Подраздел раздела положения"/>
    <w:basedOn w:val="863"/>
    <w:qFormat/>
    <w:pPr>
      <w:numPr>
        <w:ilvl w:val="1"/>
        <w:numId w:val="1"/>
      </w:numPr>
      <w:jc w:val="both"/>
      <w:spacing w:before="80" w:after="80"/>
    </w:pPr>
  </w:style>
  <w:style w:type="paragraph" w:styleId="948">
    <w:name w:val="footnote text"/>
    <w:basedOn w:val="863"/>
    <w:link w:val="921"/>
    <w:uiPriority w:val="99"/>
    <w:rPr>
      <w:sz w:val="20"/>
      <w:szCs w:val="20"/>
    </w:rPr>
  </w:style>
  <w:style w:type="paragraph" w:styleId="949" w:customStyle="1">
    <w:name w:val="Шапка 1"/>
    <w:basedOn w:val="863"/>
    <w:qFormat/>
    <w:pPr>
      <w:jc w:val="center"/>
      <w:spacing w:before="0" w:after="240"/>
      <w:pBdr>
        <w:bottom w:val="single" w:color="000000" w:sz="24" w:space="1"/>
      </w:pBdr>
    </w:pPr>
    <w:rPr>
      <w:sz w:val="22"/>
      <w:szCs w:val="22"/>
    </w:rPr>
  </w:style>
  <w:style w:type="paragraph" w:styleId="950" w:customStyle="1">
    <w:name w:val="Шапка 2"/>
    <w:basedOn w:val="863"/>
    <w:qFormat/>
    <w:pPr>
      <w:jc w:val="center"/>
      <w:spacing w:before="0"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51" w:customStyle="1">
    <w:name w:val="Шапка 3"/>
    <w:basedOn w:val="863"/>
    <w:qFormat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52" w:customStyle="1">
    <w:name w:val="Название1"/>
    <w:basedOn w:val="863"/>
    <w:link w:val="909"/>
    <w:uiPriority w:val="10"/>
    <w:qFormat/>
    <w:pPr>
      <w:jc w:val="center"/>
    </w:pPr>
    <w:rPr>
      <w:szCs w:val="20"/>
    </w:rPr>
  </w:style>
  <w:style w:type="paragraph" w:styleId="953">
    <w:name w:val="Колонтитул"/>
    <w:basedOn w:val="863"/>
    <w:qFormat/>
  </w:style>
  <w:style w:type="paragraph" w:styleId="954">
    <w:name w:val="Header"/>
    <w:basedOn w:val="863"/>
    <w:link w:val="928"/>
    <w:pPr>
      <w:tabs>
        <w:tab w:val="clear" w:pos="708" w:leader="none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55">
    <w:name w:val="Body Text Indent"/>
    <w:basedOn w:val="863"/>
    <w:pPr>
      <w:ind w:left="360" w:firstLine="0"/>
    </w:pPr>
    <w:rPr>
      <w:sz w:val="24"/>
      <w:szCs w:val="24"/>
    </w:rPr>
  </w:style>
  <w:style w:type="paragraph" w:styleId="956">
    <w:name w:val="Footer"/>
    <w:basedOn w:val="863"/>
    <w:link w:val="891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957">
    <w:name w:val="Body Text Indent 2"/>
    <w:basedOn w:val="863"/>
    <w:qFormat/>
    <w:pPr>
      <w:ind w:left="283" w:firstLine="0"/>
      <w:spacing w:before="0" w:after="120" w:line="480" w:lineRule="auto"/>
    </w:pPr>
  </w:style>
  <w:style w:type="paragraph" w:styleId="958">
    <w:name w:val="Body Text 3"/>
    <w:basedOn w:val="863"/>
    <w:qFormat/>
    <w:pPr>
      <w:spacing w:before="0" w:after="120"/>
    </w:pPr>
    <w:rPr>
      <w:sz w:val="16"/>
      <w:szCs w:val="16"/>
    </w:rPr>
  </w:style>
  <w:style w:type="paragraph" w:styleId="959">
    <w:name w:val="Body Text Indent 3"/>
    <w:basedOn w:val="863"/>
    <w:link w:val="936"/>
    <w:qFormat/>
    <w:pPr>
      <w:ind w:left="283" w:firstLine="0"/>
      <w:spacing w:before="0" w:after="120"/>
    </w:pPr>
    <w:rPr>
      <w:sz w:val="16"/>
      <w:szCs w:val="16"/>
    </w:rPr>
  </w:style>
  <w:style w:type="paragraph" w:styleId="960">
    <w:name w:val="Body Text 2"/>
    <w:basedOn w:val="863"/>
    <w:qFormat/>
    <w:pPr>
      <w:spacing w:before="0" w:after="120" w:line="480" w:lineRule="auto"/>
    </w:pPr>
  </w:style>
  <w:style w:type="paragraph" w:styleId="961">
    <w:name w:val="Block Text"/>
    <w:basedOn w:val="863"/>
    <w:qFormat/>
    <w:pPr>
      <w:ind w:left="-567" w:right="-766" w:firstLine="0"/>
      <w:jc w:val="center"/>
    </w:pPr>
    <w:rPr>
      <w:b/>
      <w:bCs/>
      <w:sz w:val="24"/>
      <w:szCs w:val="20"/>
    </w:rPr>
  </w:style>
  <w:style w:type="paragraph" w:styleId="962" w:customStyle="1">
    <w:name w:val="Подпункт"/>
    <w:basedOn w:val="863"/>
    <w:link w:val="920"/>
    <w:qFormat/>
    <w:pPr>
      <w:ind w:left="1134" w:hanging="1134"/>
      <w:jc w:val="both"/>
      <w:spacing w:line="360" w:lineRule="auto"/>
      <w:tabs>
        <w:tab w:val="clear" w:pos="708" w:leader="none"/>
        <w:tab w:val="left" w:pos="1134" w:leader="none"/>
      </w:tabs>
    </w:pPr>
    <w:rPr>
      <w:szCs w:val="20"/>
    </w:rPr>
  </w:style>
  <w:style w:type="paragraph" w:styleId="963" w:customStyle="1">
    <w:name w:val="Пункт2"/>
    <w:basedOn w:val="863"/>
    <w:link w:val="933"/>
    <w:qFormat/>
    <w:pPr>
      <w:ind w:left="1134" w:hanging="1134"/>
      <w:keepNext/>
      <w:spacing w:before="240" w:after="120"/>
      <w:tabs>
        <w:tab w:val="clear" w:pos="708" w:leader="none"/>
        <w:tab w:val="left" w:pos="1134" w:leader="none"/>
      </w:tabs>
      <w:outlineLvl w:val="2"/>
    </w:pPr>
    <w:rPr>
      <w:b/>
      <w:szCs w:val="20"/>
    </w:rPr>
  </w:style>
  <w:style w:type="paragraph" w:styleId="964">
    <w:name w:val="toc 1"/>
    <w:basedOn w:val="863"/>
    <w:next w:val="863"/>
    <w:uiPriority w:val="39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965">
    <w:name w:val="toc 3"/>
    <w:basedOn w:val="863"/>
    <w:next w:val="863"/>
    <w:uiPriority w:val="39"/>
    <w:pPr>
      <w:ind w:left="280" w:firstLine="0"/>
    </w:pPr>
    <w:rPr>
      <w:rFonts w:cs="Calibri" w:cstheme="minorHAnsi"/>
      <w:sz w:val="20"/>
      <w:szCs w:val="20"/>
    </w:rPr>
  </w:style>
  <w:style w:type="paragraph" w:styleId="966" w:customStyle="1">
    <w:name w:val="Раздел регламента"/>
    <w:basedOn w:val="863"/>
    <w:qFormat/>
  </w:style>
  <w:style w:type="paragraph" w:styleId="967" w:customStyle="1">
    <w:name w:val="Приложение к регламенту"/>
    <w:basedOn w:val="863"/>
    <w:qFormat/>
    <w:pPr>
      <w:jc w:val="right"/>
    </w:pPr>
  </w:style>
  <w:style w:type="paragraph" w:styleId="968">
    <w:name w:val="toc 2"/>
    <w:basedOn w:val="863"/>
    <w:next w:val="863"/>
    <w:uiPriority w:val="39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969">
    <w:name w:val="Balloon Text"/>
    <w:basedOn w:val="863"/>
    <w:semiHidden/>
    <w:qFormat/>
    <w:rPr>
      <w:rFonts w:ascii="Tahoma" w:hAnsi="Tahoma" w:cs="Tahoma"/>
      <w:sz w:val="16"/>
      <w:szCs w:val="16"/>
    </w:rPr>
  </w:style>
  <w:style w:type="paragraph" w:styleId="970">
    <w:name w:val="annotation text"/>
    <w:basedOn w:val="863"/>
    <w:link w:val="929"/>
    <w:semiHidden/>
    <w:qFormat/>
    <w:rPr>
      <w:sz w:val="20"/>
      <w:szCs w:val="20"/>
    </w:rPr>
  </w:style>
  <w:style w:type="paragraph" w:styleId="971">
    <w:name w:val="annotation subject"/>
    <w:basedOn w:val="970"/>
    <w:next w:val="970"/>
    <w:semiHidden/>
    <w:qFormat/>
    <w:rPr>
      <w:b/>
      <w:bCs/>
    </w:rPr>
  </w:style>
  <w:style w:type="paragraph" w:styleId="972" w:customStyle="1">
    <w:name w:val="Обычный (веб)1"/>
    <w:basedOn w:val="863"/>
    <w:uiPriority w:val="99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973">
    <w:name w:val="toc 9"/>
    <w:basedOn w:val="863"/>
    <w:next w:val="863"/>
    <w:semiHidden/>
    <w:pPr>
      <w:ind w:left="196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74">
    <w:name w:val="toc 5"/>
    <w:basedOn w:val="863"/>
    <w:next w:val="863"/>
    <w:semiHidden/>
    <w:pPr>
      <w:ind w:left="84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75">
    <w:name w:val="toc 4"/>
    <w:basedOn w:val="863"/>
    <w:next w:val="863"/>
    <w:uiPriority w:val="39"/>
    <w:pPr>
      <w:ind w:left="560" w:firstLine="0"/>
    </w:pPr>
    <w:rPr>
      <w:rFonts w:cs="Calibri" w:cstheme="minorHAnsi"/>
      <w:sz w:val="20"/>
      <w:szCs w:val="20"/>
    </w:rPr>
  </w:style>
  <w:style w:type="paragraph" w:styleId="976" w:customStyle="1">
    <w:name w:val="Раздел положения 2"/>
    <w:basedOn w:val="863"/>
    <w:qFormat/>
    <w:pPr>
      <w:jc w:val="both"/>
      <w:pageBreakBefore/>
      <w:outlineLvl w:val="0"/>
    </w:pPr>
    <w:rPr>
      <w:b/>
    </w:rPr>
  </w:style>
  <w:style w:type="paragraph" w:styleId="977" w:customStyle="1">
    <w:name w:val="Знак Знак Знак Знак Знак Знак Знак Знак Знак"/>
    <w:basedOn w:val="863"/>
    <w:qFormat/>
    <w:pPr>
      <w:jc w:val="both"/>
      <w:spacing w:before="0"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78">
    <w:name w:val="No Spacing"/>
    <w:basedOn w:val="863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79">
    <w:name w:val="Subtitle"/>
    <w:basedOn w:val="863"/>
    <w:next w:val="863"/>
    <w:link w:val="910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980">
    <w:name w:val="List Paragraph"/>
    <w:basedOn w:val="863"/>
    <w:link w:val="924"/>
    <w:uiPriority w:val="34"/>
    <w:qFormat/>
    <w:pPr>
      <w:contextualSpacing/>
      <w:ind w:left="720" w:firstLine="0"/>
      <w:spacing w:before="0" w:after="0"/>
    </w:pPr>
    <w:rPr>
      <w:rFonts w:eastAsia="Calibri"/>
      <w:sz w:val="24"/>
      <w:szCs w:val="24"/>
    </w:rPr>
  </w:style>
  <w:style w:type="paragraph" w:styleId="981">
    <w:name w:val="Quote"/>
    <w:basedOn w:val="863"/>
    <w:next w:val="863"/>
    <w:link w:val="912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paragraph" w:styleId="982">
    <w:name w:val="Intense Quote"/>
    <w:basedOn w:val="863"/>
    <w:next w:val="863"/>
    <w:link w:val="913"/>
    <w:uiPriority w:val="30"/>
    <w:qFormat/>
    <w:pPr>
      <w:ind w:left="936" w:right="936" w:firstLine="0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983">
    <w:name w:val="Index Heading"/>
    <w:basedOn w:val="938"/>
  </w:style>
  <w:style w:type="paragraph" w:styleId="984">
    <w:name w:val="TOC Heading"/>
    <w:basedOn w:val="864"/>
    <w:next w:val="863"/>
    <w:uiPriority w:val="39"/>
    <w:qFormat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985">
    <w:name w:val="E-mail Signature"/>
    <w:basedOn w:val="863"/>
    <w:link w:val="919"/>
    <w:uiPriority w:val="99"/>
    <w:unhideWhenUsed/>
    <w:qFormat/>
    <w:rPr>
      <w:rFonts w:eastAsia="Calibri"/>
      <w:sz w:val="24"/>
      <w:szCs w:val="24"/>
    </w:rPr>
  </w:style>
  <w:style w:type="paragraph" w:styleId="986" w:customStyle="1">
    <w:name w:val="Знак"/>
    <w:basedOn w:val="863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7" w:customStyle="1">
    <w:name w:val="Нумерованный список ур3"/>
    <w:basedOn w:val="863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88" w:customStyle="1">
    <w:name w:val="List Bullet 4"/>
    <w:basedOn w:val="863"/>
    <w:qFormat/>
    <w:pPr>
      <w:numPr>
        <w:ilvl w:val="0"/>
        <w:numId w:val="2"/>
      </w:numPr>
      <w:jc w:val="both"/>
      <w:spacing w:before="120" w:after="0"/>
    </w:pPr>
    <w:rPr>
      <w:rFonts w:ascii="Garamond" w:hAnsi="Garamond"/>
      <w:sz w:val="24"/>
      <w:szCs w:val="20"/>
    </w:rPr>
  </w:style>
  <w:style w:type="paragraph" w:styleId="989" w:customStyle="1">
    <w:name w:val="Нумерованный список ур2"/>
    <w:basedOn w:val="863"/>
    <w:qFormat/>
    <w:pPr>
      <w:numPr>
        <w:ilvl w:val="1"/>
        <w:numId w:val="2"/>
      </w:numPr>
      <w:jc w:val="both"/>
      <w:spacing w:before="120" w:after="0"/>
    </w:pPr>
    <w:rPr>
      <w:rFonts w:ascii="Garamond" w:hAnsi="Garamond"/>
      <w:sz w:val="24"/>
      <w:szCs w:val="20"/>
    </w:rPr>
  </w:style>
  <w:style w:type="paragraph" w:styleId="990">
    <w:name w:val="Revision"/>
    <w:uiPriority w:val="99"/>
    <w:semiHidden/>
    <w:qFormat/>
    <w:pPr>
      <w:jc w:val="left"/>
      <w:spacing w:before="0" w:after="0"/>
      <w:widowControl/>
    </w:pPr>
    <w:rPr>
      <w:rFonts w:ascii="Times New Roman" w:hAnsi="Times New Roman" w:eastAsia="Calibri" w:cs="Arial Unicode MS"/>
      <w:color w:val="auto"/>
      <w:sz w:val="24"/>
      <w:szCs w:val="24"/>
      <w:lang w:val="ru-RU" w:eastAsia="ru-RU" w:bidi="ar-SA"/>
    </w:rPr>
  </w:style>
  <w:style w:type="paragraph" w:styleId="991" w:customStyle="1">
    <w:name w:val="ConsPlusNormal"/>
    <w:qFormat/>
    <w:pPr>
      <w:ind w:firstLine="720"/>
      <w:jc w:val="left"/>
      <w:spacing w:before="0" w:after="0"/>
      <w:widowControl w:val="off"/>
    </w:pPr>
    <w:rPr>
      <w:rFonts w:ascii="Arial" w:hAnsi="Arial" w:eastAsia="Noto Serif CJK SC" w:cs="Arial"/>
      <w:color w:val="auto"/>
      <w:sz w:val="20"/>
      <w:szCs w:val="20"/>
      <w:lang w:val="ru-RU" w:eastAsia="ru-RU" w:bidi="ar-SA"/>
    </w:rPr>
  </w:style>
  <w:style w:type="paragraph" w:styleId="992" w:customStyle="1">
    <w:name w:val="Знак Знак3 Знак Знак"/>
    <w:basedOn w:val="863"/>
    <w:qFormat/>
    <w:pPr>
      <w:jc w:val="both"/>
      <w:spacing w:before="0"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93" w:customStyle="1">
    <w:name w:val="Пункт"/>
    <w:basedOn w:val="863"/>
    <w:qFormat/>
    <w:pPr>
      <w:ind w:left="1134" w:right="800" w:hanging="1134"/>
      <w:jc w:val="both"/>
      <w:spacing w:before="120" w:after="0" w:line="360" w:lineRule="auto"/>
      <w:widowControl w:val="off"/>
      <w:tabs>
        <w:tab w:val="clear" w:pos="708" w:leader="none"/>
        <w:tab w:val="left" w:pos="1134" w:leader="none"/>
      </w:tabs>
    </w:pPr>
    <w:rPr>
      <w:rFonts w:ascii="Arial" w:hAnsi="Arial"/>
      <w:b/>
      <w:i/>
      <w:szCs w:val="20"/>
    </w:rPr>
  </w:style>
  <w:style w:type="paragraph" w:styleId="994" w:customStyle="1">
    <w:name w:val="Абзац списка1"/>
    <w:basedOn w:val="863"/>
    <w:qFormat/>
    <w:pPr>
      <w:contextualSpacing/>
      <w:ind w:left="720" w:firstLine="0"/>
      <w:spacing w:before="0"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995" w:customStyle="1">
    <w:name w:val="Таблица"/>
    <w:basedOn w:val="863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paragraph" w:styleId="996" w:customStyle="1">
    <w:name w:val="Таблица шапка"/>
    <w:basedOn w:val="863"/>
    <w:qFormat/>
    <w:pPr>
      <w:ind w:left="57" w:right="57" w:firstLine="0"/>
      <w:keepNext/>
      <w:spacing w:before="40" w:after="40"/>
    </w:pPr>
    <w:rPr>
      <w:sz w:val="22"/>
      <w:szCs w:val="26"/>
    </w:rPr>
  </w:style>
  <w:style w:type="paragraph" w:styleId="997" w:customStyle="1">
    <w:name w:val="Подподпункт"/>
    <w:basedOn w:val="962"/>
    <w:link w:val="926"/>
    <w:qFormat/>
    <w:pPr>
      <w:ind w:left="5104" w:hanging="567"/>
      <w:spacing w:before="120" w:after="0" w:line="240" w:lineRule="auto"/>
      <w:tabs>
        <w:tab w:val="clear" w:pos="1134" w:leader="none"/>
        <w:tab w:val="left" w:pos="5104" w:leader="none"/>
      </w:tabs>
    </w:pPr>
    <w:rPr>
      <w:sz w:val="26"/>
      <w:szCs w:val="26"/>
    </w:rPr>
  </w:style>
  <w:style w:type="paragraph" w:styleId="998" w:customStyle="1">
    <w:name w:val="УРОВЕНЬ_(а)"/>
    <w:basedOn w:val="980"/>
    <w:qFormat/>
    <w:pPr>
      <w:numPr>
        <w:ilvl w:val="3"/>
        <w:numId w:val="4"/>
      </w:numPr>
      <w:contextualSpacing w:val="0"/>
      <w:jc w:val="both"/>
      <w:spacing w:before="120" w:after="0" w:line="360" w:lineRule="exact"/>
      <w:outlineLvl w:val="3"/>
    </w:pPr>
    <w:rPr>
      <w:sz w:val="26"/>
      <w:szCs w:val="28"/>
      <w:lang w:eastAsia="en-US"/>
    </w:rPr>
  </w:style>
  <w:style w:type="paragraph" w:styleId="999" w:customStyle="1">
    <w:name w:val="УРОВЕНЬ_-"/>
    <w:basedOn w:val="980"/>
    <w:qFormat/>
    <w:pPr>
      <w:numPr>
        <w:ilvl w:val="4"/>
        <w:numId w:val="4"/>
      </w:numPr>
      <w:contextualSpacing w:val="0"/>
      <w:jc w:val="both"/>
      <w:spacing w:before="120" w:after="0" w:line="360" w:lineRule="exact"/>
      <w:outlineLvl w:val="4"/>
    </w:pPr>
    <w:rPr>
      <w:sz w:val="26"/>
      <w:szCs w:val="28"/>
      <w:lang w:eastAsia="en-US"/>
    </w:rPr>
  </w:style>
  <w:style w:type="paragraph" w:styleId="1000" w:customStyle="1">
    <w:name w:val="УРОВЕНЬ_Абзац_тип2"/>
    <w:basedOn w:val="980"/>
    <w:qFormat/>
    <w:pPr>
      <w:numPr>
        <w:ilvl w:val="6"/>
        <w:numId w:val="4"/>
      </w:numPr>
      <w:contextualSpacing w:val="0"/>
      <w:jc w:val="both"/>
      <w:spacing w:before="120" w:after="0" w:line="360" w:lineRule="exact"/>
    </w:pPr>
    <w:rPr>
      <w:sz w:val="26"/>
      <w:szCs w:val="28"/>
      <w:lang w:eastAsia="en-US"/>
    </w:rPr>
  </w:style>
  <w:style w:type="paragraph" w:styleId="1001" w:customStyle="1">
    <w:name w:val="УРОВЕНЬ_Абзац_тип3"/>
    <w:basedOn w:val="980"/>
    <w:link w:val="927"/>
    <w:qFormat/>
    <w:pPr>
      <w:numPr>
        <w:ilvl w:val="7"/>
        <w:numId w:val="4"/>
      </w:numPr>
      <w:contextualSpacing w:val="0"/>
      <w:jc w:val="both"/>
      <w:spacing w:before="120" w:after="0" w:line="360" w:lineRule="exact"/>
    </w:pPr>
    <w:rPr>
      <w:sz w:val="26"/>
      <w:szCs w:val="28"/>
      <w:lang w:eastAsia="en-US"/>
    </w:rPr>
  </w:style>
  <w:style w:type="paragraph" w:styleId="1002" w:customStyle="1">
    <w:name w:val="УРОВЕНЬ_Подпись"/>
    <w:basedOn w:val="980"/>
    <w:qFormat/>
    <w:pPr>
      <w:numPr>
        <w:ilvl w:val="5"/>
        <w:numId w:val="4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paragraph" w:styleId="1003" w:customStyle="1">
    <w:name w:val="Стиль Заголовок 1 + по ширине"/>
    <w:basedOn w:val="864"/>
    <w:qFormat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left" w:pos="567" w:leader="none"/>
        <w:tab w:val="clear" w:pos="708" w:leader="none"/>
      </w:tabs>
    </w:pPr>
    <w:rPr>
      <w:rFonts w:ascii="Arial" w:hAnsi="Arial" w:eastAsia="Times New Roman"/>
      <w:bCs/>
      <w:sz w:val="40"/>
      <w:szCs w:val="20"/>
    </w:rPr>
  </w:style>
  <w:style w:type="paragraph" w:styleId="1004">
    <w:name w:val="endnote text"/>
    <w:basedOn w:val="863"/>
    <w:link w:val="930"/>
    <w:rPr>
      <w:sz w:val="20"/>
      <w:szCs w:val="20"/>
    </w:rPr>
  </w:style>
  <w:style w:type="paragraph" w:styleId="1005" w:customStyle="1">
    <w:name w:val="Заголовок 2 КВВ"/>
    <w:basedOn w:val="863"/>
    <w:qFormat/>
    <w:pPr>
      <w:numPr>
        <w:ilvl w:val="0"/>
        <w:numId w:val="5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paragraph" w:styleId="1006" w:customStyle="1">
    <w:name w:val="Таблица текст"/>
    <w:basedOn w:val="863"/>
    <w:qFormat/>
    <w:pPr>
      <w:ind w:left="57" w:right="57" w:firstLine="0"/>
      <w:spacing w:before="40" w:after="40"/>
    </w:pPr>
    <w:rPr>
      <w:sz w:val="24"/>
      <w:szCs w:val="26"/>
    </w:rPr>
  </w:style>
  <w:style w:type="paragraph" w:styleId="1007">
    <w:name w:val="Normal (Web)"/>
    <w:basedOn w:val="863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1008" w:customStyle="1">
    <w:name w:val="УРОВЕНЬ_1."/>
    <w:basedOn w:val="980"/>
    <w:link w:val="934"/>
    <w:qFormat/>
    <w:pPr>
      <w:contextualSpacing w:val="0"/>
      <w:ind w:left="0" w:firstLine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paragraph" w:styleId="1009">
    <w:name w:val="toc 6"/>
    <w:basedOn w:val="863"/>
    <w:next w:val="863"/>
    <w:unhideWhenUsed/>
    <w:pPr>
      <w:ind w:left="112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1010">
    <w:name w:val="toc 7"/>
    <w:basedOn w:val="863"/>
    <w:next w:val="863"/>
    <w:unhideWhenUsed/>
    <w:pPr>
      <w:ind w:left="140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1011">
    <w:name w:val="toc 8"/>
    <w:basedOn w:val="863"/>
    <w:next w:val="863"/>
    <w:unhideWhenUsed/>
    <w:pPr>
      <w:ind w:left="168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1012">
    <w:name w:val="Содержимое врезки"/>
    <w:basedOn w:val="863"/>
    <w:qFormat/>
  </w:style>
  <w:style w:type="numbering" w:styleId="1013" w:default="1">
    <w:name w:val="No List"/>
    <w:uiPriority w:val="99"/>
    <w:semiHidden/>
    <w:unhideWhenUsed/>
    <w:qFormat/>
  </w:style>
  <w:style w:type="numbering" w:styleId="1014" w:customStyle="1">
    <w:name w:val="Стиль1"/>
    <w:uiPriority w:val="99"/>
    <w:qFormat/>
  </w:style>
  <w:style w:type="numbering" w:styleId="1015" w:customStyle="1">
    <w:name w:val="Стиль2"/>
    <w:uiPriority w:val="99"/>
    <w:qFormat/>
  </w:style>
  <w:style w:type="table" w:styleId="1016">
    <w:name w:val="Plain Table 1"/>
    <w:basedOn w:val="1035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1017">
    <w:name w:val="Plain Table 2"/>
    <w:basedOn w:val="1035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1018">
    <w:name w:val="Plain Table 3"/>
    <w:basedOn w:val="103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19">
    <w:name w:val="Plain Table 4"/>
    <w:basedOn w:val="103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0">
    <w:name w:val="Plain Table 5"/>
    <w:basedOn w:val="103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21">
    <w:name w:val="Grid Table 1 Light"/>
    <w:basedOn w:val="10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2">
    <w:name w:val="Grid Table 2"/>
    <w:basedOn w:val="103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>
    <w:name w:val="Grid Table 3"/>
    <w:basedOn w:val="103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4">
    <w:name w:val="Grid Table 4"/>
    <w:basedOn w:val="103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25">
    <w:name w:val="Grid Table 5 Dark"/>
    <w:basedOn w:val="10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8a8a8a" w:themeFill="text1" w:themeFillTint="75"/>
      </w:tcPr>
    </w:tblStylePr>
    <w:tblStylePr w:type="band1Vert"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cPr>
        <w:shd w:val="clear" w:color="ffffff" w:fill="000000" w:themeFill="text1"/>
        <w:tcBorders>
          <w:top w:val="single" w:color="000000" w:themeColor="light1" w:sz="4" w:space="0"/>
        </w:tcBorders>
      </w:tcPr>
    </w:tblStylePr>
  </w:style>
  <w:style w:type="table" w:styleId="1026">
    <w:name w:val="Grid Table 6 Colorful"/>
    <w:basedOn w:val="10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cPr>
        <w:shd w:val="clear" w:color="ffffff" w:fill="cbcbcb" w:themeFill="text1" w:themeFillTint="34"/>
      </w:tcPr>
    </w:tblStylePr>
    <w:tblStylePr w:type="band1Vert"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color w:val="404040" w:themeColor="text1" w:themeTint="80" w:themeShade="95"/>
        <w:sz w:val="22"/>
      </w:rPr>
    </w:tblStylePr>
  </w:style>
  <w:style w:type="table" w:styleId="1027">
    <w:name w:val="Grid Table 7 Colorful"/>
    <w:basedOn w:val="103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8">
    <w:name w:val="List Table 1 Light"/>
    <w:basedOn w:val="103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9">
    <w:name w:val="List Table 2"/>
    <w:basedOn w:val="10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030">
    <w:name w:val="List Table 3"/>
    <w:basedOn w:val="10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1">
    <w:name w:val="List Table 4"/>
    <w:basedOn w:val="10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cPr>
        <w:shd w:val="clear" w:color="fffff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2">
    <w:name w:val="List Table 5 Dark"/>
    <w:basedOn w:val="10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1033">
    <w:name w:val="List Table 6 Colorful"/>
    <w:basedOn w:val="10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1034">
    <w:name w:val="List Table 7 Colorful"/>
    <w:basedOn w:val="103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4a4a4a" w:themeColor="text1" w:themeTint="80" w:themeShade="95"/>
        <w:sz w:val="22"/>
      </w:rPr>
    </w:tblStylePr>
  </w:style>
  <w:style w:type="table" w:styleId="1035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1036" w:customStyle="1">
    <w:name w:val="Таблица простая 11"/>
    <w:basedOn w:val="103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1037" w:customStyle="1">
    <w:name w:val="Таблица простая 21"/>
    <w:basedOn w:val="1035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1038" w:customStyle="1">
    <w:name w:val="Таблица простая 31"/>
    <w:basedOn w:val="1035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39" w:customStyle="1">
    <w:name w:val="Таблица простая 41"/>
    <w:basedOn w:val="1035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0" w:customStyle="1">
    <w:name w:val="Таблица простая 51"/>
    <w:basedOn w:val="1035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41" w:customStyle="1">
    <w:name w:val="Таблица-сетка 1 светлая1"/>
    <w:basedOn w:val="1035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2" w:customStyle="1">
    <w:name w:val="Таблица-сетка 21"/>
    <w:basedOn w:val="103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3" w:customStyle="1">
    <w:name w:val="Таблица-сетка 31"/>
    <w:basedOn w:val="103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4" w:customStyle="1">
    <w:name w:val="Таблица-сетка 41"/>
    <w:basedOn w:val="1035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45" w:customStyle="1">
    <w:name w:val="Таблица-сетка 5 темная1"/>
    <w:basedOn w:val="103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1046" w:customStyle="1">
    <w:name w:val="Таблица-сетка 6 цветная1"/>
    <w:basedOn w:val="1035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047" w:customStyle="1">
    <w:name w:val="Таблица-сетка 7 цветная1"/>
    <w:basedOn w:val="1035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7F7F7F" w:themeColor="text1" w:sz="4" w:space="0"/>
          <w:right w:val="none" w:color="000000" w:sz="0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48" w:customStyle="1">
    <w:name w:val="Список-таблица 1 светлая1"/>
    <w:basedOn w:val="1035"/>
    <w:uiPriority w:val="99"/>
    <w:tblPr>
      <w:tblStyleRowBandSize w:val="1"/>
      <w:tblStyleColBandSize w:val="1"/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9" w:customStyle="1">
    <w:name w:val="Список-таблица 21"/>
    <w:basedOn w:val="1035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styleId="1050" w:customStyle="1">
    <w:name w:val="Список-таблица 31"/>
    <w:basedOn w:val="103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1" w:customStyle="1">
    <w:name w:val="Список-таблица 41"/>
    <w:basedOn w:val="103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2" w:customStyle="1">
    <w:name w:val="Список-таблица 5 темная1"/>
    <w:basedOn w:val="1035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7F7F7F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53" w:customStyle="1">
    <w:name w:val="Список-таблица 6 цветная1"/>
    <w:basedOn w:val="1035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sz="4" w:space="0"/>
        </w:tcBorders>
      </w:tcPr>
    </w:tblStylePr>
  </w:style>
  <w:style w:type="table" w:styleId="1054" w:customStyle="1">
    <w:name w:val="Список-таблица 7 цветная1"/>
    <w:basedOn w:val="1035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7F7F7F" w:themeColor="text1" w:sz="4" w:space="0"/>
          <w:right w:val="none" w:color="000000" w:sz="0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55" w:customStyle="1">
    <w:name w:val="Table Grid Light"/>
    <w:basedOn w:val="103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056" w:customStyle="1">
    <w:name w:val="Таблица простая 11"/>
    <w:basedOn w:val="103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1057" w:customStyle="1">
    <w:name w:val="Таблица простая 21"/>
    <w:basedOn w:val="1035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1058" w:customStyle="1">
    <w:name w:val="Таблица простая 31"/>
    <w:basedOn w:val="1035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59" w:customStyle="1">
    <w:name w:val="Таблица простая 41"/>
    <w:basedOn w:val="1035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0" w:customStyle="1">
    <w:name w:val="Таблица простая 51"/>
    <w:basedOn w:val="1035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61" w:customStyle="1">
    <w:name w:val="Таблица-сетка 1 светлая1"/>
    <w:basedOn w:val="1035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2" w:customStyle="1">
    <w:name w:val="Grid Table 1 Light - Accent 1"/>
    <w:basedOn w:val="1035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3C5E7" w:themeColor="accent1" w:sz="4" w:space="0"/>
          <w:left w:val="single" w:color="B3C5E7" w:themeColor="accent1" w:sz="4" w:space="0"/>
          <w:bottom w:val="single" w:color="B3C5E7" w:themeColor="accent1" w:sz="4" w:space="0"/>
          <w:right w:val="single" w:color="B3C5E7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3" w:customStyle="1">
    <w:name w:val="Grid Table 1 Light - Accent 2"/>
    <w:basedOn w:val="1035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4" w:customStyle="1">
    <w:name w:val="Grid Table 1 Light - Accent 3"/>
    <w:basedOn w:val="1035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5" w:customStyle="1">
    <w:name w:val="Grid Table 1 Light - Accent 4"/>
    <w:basedOn w:val="1035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6" w:customStyle="1">
    <w:name w:val="Grid Table 1 Light - Accent 5"/>
    <w:basedOn w:val="1035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CD6EE" w:themeColor="accent5" w:sz="4" w:space="0"/>
          <w:left w:val="single" w:color="BCD6EE" w:themeColor="accent5" w:sz="4" w:space="0"/>
          <w:bottom w:val="single" w:color="BCD6EE" w:themeColor="accent5" w:sz="4" w:space="0"/>
          <w:right w:val="single" w:color="BCD6EE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7" w:customStyle="1">
    <w:name w:val="Grid Table 1 Light - Accent 6"/>
    <w:basedOn w:val="1035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8" w:customStyle="1">
    <w:name w:val="Таблица-сетка 21"/>
    <w:basedOn w:val="103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9" w:customStyle="1">
    <w:name w:val="Grid Table 2 - Accent 1"/>
    <w:basedOn w:val="1035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1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0" w:customStyle="1">
    <w:name w:val="Grid Table 2 - Accent 2"/>
    <w:basedOn w:val="1035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1" w:customStyle="1">
    <w:name w:val="Grid Table 2 - Accent 3"/>
    <w:basedOn w:val="1035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2" w:customStyle="1">
    <w:name w:val="Grid Table 2 - Accent 4"/>
    <w:basedOn w:val="1035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3" w:customStyle="1">
    <w:name w:val="Grid Table 2 - Accent 5"/>
    <w:basedOn w:val="1035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color w:val="404040"/>
        <w:sz w:val="22"/>
      </w:rPr>
      <w:tcPr>
        <w:shd w:val="clear" w:color="ddeaf6" w:fill="ddeaf6" w:themeFill="accent5" w:themeFillTint="34"/>
      </w:tcPr>
    </w:tblStylePr>
    <w:tblStylePr w:type="band1Vert">
      <w:rPr>
        <w:color w:val="404040"/>
        <w:sz w:val="22"/>
      </w:rPr>
      <w:tcPr>
        <w:shd w:val="clear" w:color="ddeaf6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4" w:customStyle="1">
    <w:name w:val="Grid Table 2 - Accent 6"/>
    <w:basedOn w:val="1035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5" w:customStyle="1">
    <w:name w:val="Таблица-сетка 31"/>
    <w:basedOn w:val="103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6" w:customStyle="1">
    <w:name w:val="Grid Table 3 - Accent 1"/>
    <w:basedOn w:val="1035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1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7" w:customStyle="1">
    <w:name w:val="Grid Table 3 - Accent 2"/>
    <w:basedOn w:val="1035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8" w:customStyle="1">
    <w:name w:val="Grid Table 3 - Accent 3"/>
    <w:basedOn w:val="1035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9" w:customStyle="1">
    <w:name w:val="Grid Table 3 - Accent 4"/>
    <w:basedOn w:val="1035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0" w:customStyle="1">
    <w:name w:val="Grid Table 3 - Accent 5"/>
    <w:basedOn w:val="1035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color w:val="404040"/>
        <w:sz w:val="22"/>
      </w:rPr>
      <w:tcPr>
        <w:shd w:val="clear" w:color="ddeaf6" w:fill="ddeaf6" w:themeFill="accent5" w:themeFillTint="34"/>
      </w:tcPr>
    </w:tblStylePr>
    <w:tblStylePr w:type="band1Vert">
      <w:rPr>
        <w:color w:val="404040"/>
        <w:sz w:val="22"/>
      </w:rPr>
      <w:tcPr>
        <w:shd w:val="clear" w:color="ddeaf6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1" w:customStyle="1">
    <w:name w:val="Grid Table 3 - Accent 6"/>
    <w:basedOn w:val="1035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2" w:customStyle="1">
    <w:name w:val="Таблица-сетка 41"/>
    <w:basedOn w:val="1035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83" w:customStyle="1">
    <w:name w:val="Grid Table 4 - Accent 1"/>
    <w:basedOn w:val="1035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ae3f3" w:fill="dae3f3" w:themeFill="accent1" w:themeFillTint="32"/>
      </w:tcPr>
    </w:tblStylePr>
    <w:tblStylePr w:type="band1Vert">
      <w:rPr>
        <w:color w:val="404040"/>
        <w:sz w:val="22"/>
      </w:rPr>
      <w:tcPr>
        <w:shd w:val="clear" w:color="dae3f3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37dc8" w:fill="537dc8" w:themeFill="accent1" w:themeFillTint="EA"/>
        <w:tcBorders>
          <w:top w:val="single" w:color="537DC8" w:themeColor="accent1" w:sz="4" w:space="0"/>
          <w:left w:val="single" w:color="537DC8" w:themeColor="accent1" w:sz="4" w:space="0"/>
          <w:bottom w:val="single" w:color="537DC8" w:themeColor="accent1" w:sz="4" w:space="0"/>
          <w:right w:val="single" w:color="537DC8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sz="4" w:space="0"/>
        </w:tcBorders>
      </w:tcPr>
    </w:tblStylePr>
  </w:style>
  <w:style w:type="table" w:styleId="1084" w:customStyle="1">
    <w:name w:val="Grid Table 4 - Accent 2"/>
    <w:basedOn w:val="1035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4b184" w:fill="f4b184" w:themeFill="accent2" w:themeFillTint="97"/>
        <w:tcBorders>
          <w:top w:val="single" w:color="F4B184" w:themeColor="accent2" w:sz="4" w:space="0"/>
          <w:left w:val="single" w:color="F4B184" w:themeColor="accent2" w:sz="4" w:space="0"/>
          <w:bottom w:val="single" w:color="F4B184" w:themeColor="accent2" w:sz="4" w:space="0"/>
          <w:right w:val="single" w:color="F4B184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sz="4" w:space="0"/>
        </w:tcBorders>
      </w:tcPr>
    </w:tblStylePr>
  </w:style>
  <w:style w:type="table" w:styleId="1085" w:customStyle="1">
    <w:name w:val="Grid Table 4 - Accent 3"/>
    <w:basedOn w:val="1035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5a5a5" w:fill="a5a5a5" w:themeFill="accent3" w:themeFillTint="FE"/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</w:tcBorders>
      </w:tcPr>
    </w:tblStylePr>
  </w:style>
  <w:style w:type="table" w:styleId="1086" w:customStyle="1">
    <w:name w:val="Grid Table 4 - Accent 4"/>
    <w:basedOn w:val="1035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d865" w:fill="ffd865" w:themeFill="accent4" w:themeFillTint="9A"/>
        <w:tcBorders>
          <w:top w:val="single" w:color="FFD865" w:themeColor="accent4" w:sz="4" w:space="0"/>
          <w:left w:val="single" w:color="FFD865" w:themeColor="accent4" w:sz="4" w:space="0"/>
          <w:bottom w:val="single" w:color="FFD865" w:themeColor="accent4" w:sz="4" w:space="0"/>
          <w:right w:val="single" w:color="FFD865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sz="4" w:space="0"/>
        </w:tcBorders>
      </w:tcPr>
    </w:tblStylePr>
  </w:style>
  <w:style w:type="table" w:styleId="1087" w:customStyle="1">
    <w:name w:val="Grid Table 4 - Accent 5"/>
    <w:basedOn w:val="1035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deaf6" w:fill="ddeaf6" w:themeFill="accent5" w:themeFillTint="34"/>
      </w:tcPr>
    </w:tblStylePr>
    <w:tblStylePr w:type="band1Vert">
      <w:rPr>
        <w:color w:val="404040"/>
        <w:sz w:val="22"/>
      </w:rPr>
      <w:tcPr>
        <w:shd w:val="clear" w:color="ddeaf6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b9bd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1088" w:customStyle="1">
    <w:name w:val="Grid Table 4 - Accent 6"/>
    <w:basedOn w:val="1035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70ad47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1089" w:customStyle="1">
    <w:name w:val="Таблица-сетка 5 темная1"/>
    <w:basedOn w:val="103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1090" w:customStyle="1">
    <w:name w:val="Grid Table 5 Dark- Accent 1"/>
    <w:basedOn w:val="103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9bee4" w:fill="a9bee4" w:themeFill="accent1" w:themeFillTint="75"/>
      </w:tcPr>
    </w:tblStylePr>
    <w:tblStylePr w:type="band1Vert">
      <w:tcPr>
        <w:shd w:val="clear" w:color="a9bee4" w:fill="a9bee4" w:themeFill="accent1" w:themeFillTint="75"/>
      </w:tcPr>
    </w:tblStylePr>
    <w:tblStylePr w:type="firstCol">
      <w:rPr>
        <w:b/>
        <w:color w:val="ffffff"/>
        <w:sz w:val="22"/>
      </w:rPr>
      <w:tcPr>
        <w:shd w:val="clear" w:color="4472c4" w:fill="4472c4" w:themeFill="accent1"/>
      </w:tcPr>
    </w:tblStylePr>
    <w:tblStylePr w:type="firstRow">
      <w:rPr>
        <w:b/>
        <w:color w:val="ffffff"/>
        <w:sz w:val="22"/>
      </w:rPr>
      <w:tcPr>
        <w:shd w:val="clear" w:color="4472c4" w:fill="4472c4" w:themeFill="accent1"/>
      </w:tcPr>
    </w:tblStylePr>
    <w:tblStylePr w:type="lastCol">
      <w:rPr>
        <w:b/>
        <w:color w:val="ffffff"/>
        <w:sz w:val="22"/>
      </w:rPr>
      <w:tcPr>
        <w:shd w:val="clear" w:color="4472c4" w:fill="4472c4" w:themeFill="accent1"/>
      </w:tcPr>
    </w:tblStylePr>
    <w:tblStylePr w:type="lastRow">
      <w:rPr>
        <w:b/>
        <w:color w:val="ffffff"/>
        <w:sz w:val="22"/>
      </w:rPr>
      <w:tcPr>
        <w:shd w:val="clear" w:color="4472c4" w:fill="4472c4" w:themeFill="accent1"/>
        <w:tcBorders>
          <w:top w:val="single" w:color="FFFFFF" w:themeColor="light1" w:sz="4" w:space="0"/>
        </w:tcBorders>
      </w:tcPr>
    </w:tblStylePr>
  </w:style>
  <w:style w:type="table" w:styleId="1091" w:customStyle="1">
    <w:name w:val="Grid Table 5 Dark - Accent 2"/>
    <w:basedOn w:val="103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6c3a0" w:fill="f6c3a0" w:themeFill="accent2" w:themeFillTint="75"/>
      </w:tcPr>
    </w:tblStylePr>
    <w:tblStylePr w:type="band1Vert">
      <w:tcPr>
        <w:shd w:val="clear" w:color="f6c3a0" w:fill="f6c3a0" w:themeFill="accent2" w:themeFillTint="75"/>
      </w:tcPr>
    </w:tblStylePr>
    <w:tblStylePr w:type="firstCol">
      <w:rPr>
        <w:b/>
        <w:color w:val="ffffff"/>
        <w:sz w:val="22"/>
      </w:rPr>
      <w:tcPr>
        <w:shd w:val="clear" w:color="ed7d31" w:fill="ed7d31" w:themeFill="accent2"/>
      </w:tcPr>
    </w:tblStylePr>
    <w:tblStylePr w:type="firstRow">
      <w:rPr>
        <w:b/>
        <w:color w:val="ffffff"/>
        <w:sz w:val="22"/>
      </w:rPr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cPr>
        <w:shd w:val="clear" w:color="ed7d31" w:fill="ed7d31" w:themeFill="accent2"/>
        <w:tcBorders>
          <w:top w:val="single" w:color="FFFFFF" w:themeColor="light1" w:sz="4" w:space="0"/>
        </w:tcBorders>
      </w:tcPr>
    </w:tblStylePr>
  </w:style>
  <w:style w:type="table" w:styleId="1092" w:customStyle="1">
    <w:name w:val="Grid Table 5 Dark - Accent 3"/>
    <w:basedOn w:val="103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d5d5d5" w:fill="d5d5d5" w:themeFill="accent3" w:themeFillTint="75"/>
      </w:tcPr>
    </w:tblStylePr>
    <w:tblStylePr w:type="band1Vert">
      <w:tcPr>
        <w:shd w:val="clear" w:color="d5d5d5" w:fill="d5d5d5" w:themeFill="accent3" w:themeFillTint="75"/>
      </w:tcPr>
    </w:tblStylePr>
    <w:tblStylePr w:type="firstCol">
      <w:rPr>
        <w:b/>
        <w:color w:val="ffffff"/>
        <w:sz w:val="22"/>
      </w:rPr>
      <w:tcPr>
        <w:shd w:val="clear" w:color="a5a5a5" w:fill="a5a5a5" w:themeFill="accent3"/>
      </w:tcPr>
    </w:tblStylePr>
    <w:tblStylePr w:type="firstRow">
      <w:rPr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cPr>
        <w:shd w:val="clear" w:color="a5a5a5" w:fill="a5a5a5" w:themeFill="accent3"/>
        <w:tcBorders>
          <w:top w:val="single" w:color="FFFFFF" w:themeColor="light1" w:sz="4" w:space="0"/>
        </w:tcBorders>
      </w:tcPr>
    </w:tblStylePr>
  </w:style>
  <w:style w:type="table" w:styleId="1093" w:customStyle="1">
    <w:name w:val="Grid Table 5 Dark- Accent 4"/>
    <w:basedOn w:val="103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e28a" w:fill="ffe28a" w:themeFill="accent4" w:themeFillTint="75"/>
      </w:tcPr>
    </w:tblStylePr>
    <w:tblStylePr w:type="band1Vert">
      <w:tcPr>
        <w:shd w:val="clear" w:color="ffe28a" w:fill="ffe28a" w:themeFill="accent4" w:themeFillTint="75"/>
      </w:tcPr>
    </w:tblStylePr>
    <w:tblStylePr w:type="firstCol">
      <w:rPr>
        <w:b/>
        <w:color w:val="ffffff"/>
        <w:sz w:val="22"/>
      </w:rPr>
      <w:tcPr>
        <w:shd w:val="clear" w:color="ffc000" w:fill="ffc000" w:themeFill="accent4"/>
      </w:tcPr>
    </w:tblStylePr>
    <w:tblStylePr w:type="firstRow">
      <w:rPr>
        <w:b/>
        <w:color w:val="ffffff"/>
        <w:sz w:val="22"/>
      </w:rPr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cPr>
        <w:shd w:val="clear" w:color="ffc000" w:fill="ffc000" w:themeFill="accent4"/>
        <w:tcBorders>
          <w:top w:val="single" w:color="FFFFFF" w:themeColor="light1" w:sz="4" w:space="0"/>
        </w:tcBorders>
      </w:tcPr>
    </w:tblStylePr>
  </w:style>
  <w:style w:type="table" w:styleId="1094" w:customStyle="1">
    <w:name w:val="Grid Table 5 Dark - Accent 5"/>
    <w:basedOn w:val="103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3d0eb" w:fill="b3d0eb" w:themeFill="accent5" w:themeFillTint="75"/>
      </w:tcPr>
    </w:tblStylePr>
    <w:tblStylePr w:type="band1Vert">
      <w:tcPr>
        <w:shd w:val="clear" w:color="b3d0eb" w:fill="b3d0eb" w:themeFill="accent5" w:themeFillTint="75"/>
      </w:tcPr>
    </w:tblStylePr>
    <w:tblStylePr w:type="firstCol">
      <w:rPr>
        <w:b/>
        <w:color w:val="ffffff"/>
        <w:sz w:val="22"/>
      </w:rPr>
      <w:tcPr>
        <w:shd w:val="clear" w:color="5b9bd5" w:fill="5b9bd5" w:themeFill="accent5"/>
      </w:tcPr>
    </w:tblStylePr>
    <w:tblStylePr w:type="firstRow">
      <w:rPr>
        <w:b/>
        <w:color w:val="ffffff"/>
        <w:sz w:val="22"/>
      </w:rPr>
      <w:tcPr>
        <w:shd w:val="clear" w:color="5b9bd5" w:fill="5b9bd5" w:themeFill="accent5"/>
      </w:tcPr>
    </w:tblStylePr>
    <w:tblStylePr w:type="lastCol">
      <w:rPr>
        <w:b/>
        <w:color w:val="ffffff"/>
        <w:sz w:val="22"/>
      </w:rPr>
      <w:tcPr>
        <w:shd w:val="clear" w:color="5b9bd5" w:fill="5b9bd5" w:themeFill="accent5"/>
      </w:tcPr>
    </w:tblStylePr>
    <w:tblStylePr w:type="lastRow">
      <w:rPr>
        <w:b/>
        <w:color w:val="ffffff"/>
        <w:sz w:val="22"/>
      </w:rPr>
      <w:tcPr>
        <w:shd w:val="clear" w:color="5b9bd5" w:fill="5b9bd5" w:themeFill="accent5"/>
        <w:tcBorders>
          <w:top w:val="single" w:color="FFFFFF" w:themeColor="light1" w:sz="4" w:space="0"/>
        </w:tcBorders>
      </w:tcPr>
    </w:tblStylePr>
  </w:style>
  <w:style w:type="table" w:styleId="1095" w:customStyle="1">
    <w:name w:val="Grid Table 5 Dark - Accent 6"/>
    <w:basedOn w:val="103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cdba8" w:fill="bcdba8" w:themeFill="accent6" w:themeFillTint="75"/>
      </w:tcPr>
    </w:tblStylePr>
    <w:tblStylePr w:type="band1Vert">
      <w:tcPr>
        <w:shd w:val="clear" w:color="bcdba8" w:fill="bcdba8" w:themeFill="accent6" w:themeFillTint="75"/>
      </w:tcPr>
    </w:tblStylePr>
    <w:tblStylePr w:type="firstCol">
      <w:rPr>
        <w:b/>
        <w:color w:val="ffffff"/>
        <w:sz w:val="22"/>
      </w:rPr>
      <w:tcPr>
        <w:shd w:val="clear" w:color="70ad47" w:fill="70ad47" w:themeFill="accent6"/>
      </w:tcPr>
    </w:tblStylePr>
    <w:tblStylePr w:type="firstRow">
      <w:rPr>
        <w:b/>
        <w:color w:val="ffffff"/>
        <w:sz w:val="22"/>
      </w:rPr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cPr>
        <w:shd w:val="clear" w:color="70ad47" w:fill="70ad47" w:themeFill="accent6"/>
        <w:tcBorders>
          <w:top w:val="single" w:color="FFFFFF" w:themeColor="light1" w:sz="4" w:space="0"/>
        </w:tcBorders>
      </w:tcPr>
    </w:tblStylePr>
  </w:style>
  <w:style w:type="table" w:styleId="1096" w:customStyle="1">
    <w:name w:val="Таблица-сетка 6 цветная1"/>
    <w:basedOn w:val="1035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097" w:customStyle="1">
    <w:name w:val="Grid Table 6 Colorful - Accent 1"/>
    <w:basedOn w:val="1035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color w:val="a0b7e1" w:themeColor="accent1" w:themeTint="80" w:themeShade="95"/>
        <w:sz w:val="22"/>
      </w:rPr>
      <w:tcPr>
        <w:shd w:val="clear" w:color="d8e2f3" w:fill="d8e2f3" w:themeFill="accent1" w:themeFillTint="34"/>
      </w:tcPr>
    </w:tblStylePr>
    <w:tblStylePr w:type="band1Vert"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1098" w:customStyle="1">
    <w:name w:val="Grid Table 6 Colorful - Accent 2"/>
    <w:basedOn w:val="1035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1099" w:customStyle="1">
    <w:name w:val="Grid Table 6 Colorful - Accent 3"/>
    <w:basedOn w:val="1035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1100" w:customStyle="1">
    <w:name w:val="Grid Table 6 Colorful - Accent 4"/>
    <w:basedOn w:val="1035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1101" w:customStyle="1">
    <w:name w:val="Grid Table 6 Colorful - Accent 5"/>
    <w:basedOn w:val="1035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color w:val="245a8d" w:themeColor="accent5" w:themeShade="95"/>
        <w:sz w:val="22"/>
      </w:rPr>
      <w:tcPr>
        <w:shd w:val="clear" w:color="ddeaf6" w:fill="ddeaf6" w:themeFill="accent5" w:themeFillTint="34"/>
      </w:tcPr>
    </w:tblStylePr>
    <w:tblStylePr w:type="band1Vert"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1102" w:customStyle="1">
    <w:name w:val="Grid Table 6 Colorful - Accent 6"/>
    <w:basedOn w:val="1035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245a8d" w:themeColor="accent5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1103" w:customStyle="1">
    <w:name w:val="Таблица-сетка 7 цветная1"/>
    <w:basedOn w:val="1035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7F7F7F" w:themeColor="text1" w:sz="4" w:space="0"/>
          <w:right w:val="none" w:color="000000" w:sz="0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04" w:customStyle="1">
    <w:name w:val="Grid Table 7 Colorful - Accent 1"/>
    <w:basedOn w:val="1035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color w:val="a0b7e1" w:themeColor="accent1" w:themeTint="80" w:themeShade="95"/>
        <w:sz w:val="22"/>
      </w:rPr>
      <w:tcPr>
        <w:shd w:val="clear" w:color="d8e2f3" w:fill="d8e2f3" w:themeFill="accent1" w:themeFillTint="34"/>
      </w:tcPr>
    </w:tblStylePr>
    <w:tblStylePr w:type="band1Vert"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  <w:tblStylePr w:type="firstCol">
      <w:rPr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0B7E1" w:themeColor="accent1" w:sz="4" w:space="0"/>
        </w:tcBorders>
      </w:tcPr>
    </w:tblStylePr>
    <w:tblStylePr w:type="firstRow">
      <w:rPr>
        <w:b/>
        <w:color w:val="a0b7e1" w:themeColor="accen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0B7E1" w:themeColor="accent1" w:sz="4" w:space="0"/>
          <w:right w:val="none" w:color="000000" w:sz="0" w:space="0"/>
        </w:tcBorders>
      </w:tcPr>
    </w:tblStylePr>
    <w:tblStylePr w:type="lastCol">
      <w:rPr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0B7E1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a0b7e1" w:themeColor="accent1" w:themeTint="80" w:themeShade="95"/>
        <w:sz w:val="22"/>
      </w:rPr>
      <w:tcPr>
        <w:shd w:val="clear" w:color="ffffff" w:fill="ffffff" w:themeFill="light1"/>
        <w:tcBorders>
          <w:top w:val="single" w:color="A0B7E1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05" w:customStyle="1">
    <w:name w:val="Grid Table 7 Colorful - Accent 2"/>
    <w:basedOn w:val="1035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sz="4" w:space="0"/>
        </w:tcBorders>
      </w:tcPr>
    </w:tblStylePr>
    <w:tblStylePr w:type="fir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sz="4" w:space="0"/>
          <w:right w:val="none" w:color="000000" w:sz="0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F4B184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06" w:customStyle="1">
    <w:name w:val="Grid Table 7 Colorful - Accent 3"/>
    <w:basedOn w:val="1035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sz="4" w:space="0"/>
        </w:tcBorders>
      </w:tcPr>
    </w:tblStylePr>
    <w:tblStylePr w:type="fir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sz="4" w:space="0"/>
          <w:right w:val="none" w:color="000000" w:sz="0" w:space="0"/>
        </w:tcBorders>
      </w:tcPr>
    </w:tblStylePr>
    <w:tblStylePr w:type="lastCol">
      <w:rPr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single" w:color="A5A5A5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07" w:customStyle="1">
    <w:name w:val="Grid Table 7 Colorful - Accent 4"/>
    <w:basedOn w:val="1035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sz="4" w:space="0"/>
        </w:tcBorders>
      </w:tcPr>
    </w:tblStylePr>
    <w:tblStylePr w:type="fir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sz="4" w:space="0"/>
          <w:right w:val="none" w:color="000000" w:sz="0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D865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08" w:customStyle="1">
    <w:name w:val="Grid Table 7 Colorful - Accent 5"/>
    <w:basedOn w:val="1035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color w:val="245a8d" w:themeColor="accent5" w:themeShade="95"/>
        <w:sz w:val="22"/>
      </w:rPr>
      <w:tcPr>
        <w:shd w:val="clear" w:color="ddeaf6" w:fill="ddeaf6" w:themeFill="accent5" w:themeFillTint="34"/>
      </w:tcPr>
    </w:tblStylePr>
    <w:tblStylePr w:type="band1Vert"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  <w:tblStylePr w:type="firstCol">
      <w:rPr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2C6E7" w:themeColor="accent5" w:sz="4" w:space="0"/>
        </w:tcBorders>
      </w:tcPr>
    </w:tblStylePr>
    <w:tblStylePr w:type="firstRow">
      <w:rPr>
        <w:b/>
        <w:color w:val="245a8d" w:themeColor="accent5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2C6E7" w:themeColor="accent5" w:sz="4" w:space="0"/>
          <w:right w:val="none" w:color="000000" w:sz="0" w:space="0"/>
        </w:tcBorders>
      </w:tcPr>
    </w:tblStylePr>
    <w:tblStylePr w:type="lastCol">
      <w:rPr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A2C6E7" w:themeColor="accent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245a8d" w:themeColor="accent5" w:themeShade="95"/>
        <w:sz w:val="22"/>
      </w:rPr>
      <w:tcPr>
        <w:shd w:val="clear" w:color="ffffff" w:fill="ffffff" w:themeFill="light1"/>
        <w:tcBorders>
          <w:top w:val="single" w:color="A2C6E7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09" w:customStyle="1">
    <w:name w:val="Grid Table 7 Colorful - Accent 6"/>
    <w:basedOn w:val="1035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16429" w:themeColor="accent6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  <w:tblStylePr w:type="firstCol">
      <w:rPr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sz="4" w:space="0"/>
        </w:tcBorders>
      </w:tcPr>
    </w:tblStylePr>
    <w:tblStylePr w:type="fir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sz="4" w:space="0"/>
          <w:right w:val="none" w:color="000000" w:sz="0" w:space="0"/>
        </w:tcBorders>
      </w:tcPr>
    </w:tblStylePr>
    <w:tblStylePr w:type="lastCol">
      <w:rPr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single" w:color="ADD394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10" w:customStyle="1">
    <w:name w:val="Список-таблица 1 светлая1"/>
    <w:basedOn w:val="1035"/>
    <w:uiPriority w:val="99"/>
    <w:tblPr>
      <w:tblStyleRowBandSize w:val="1"/>
      <w:tblStyleColBandSize w:val="1"/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1" w:customStyle="1">
    <w:name w:val="List Table 1 Light - Accent 1"/>
    <w:basedOn w:val="1035"/>
    <w:uiPriority w:val="99"/>
    <w:tblPr>
      <w:tblStyleRowBandSize w:val="1"/>
      <w:tblStyleColBandSize w:val="1"/>
    </w:tblPr>
    <w:tblStylePr w:type="band1Horz">
      <w:tcPr>
        <w:shd w:val="clear" w:color="cfdbf0" w:fill="cfdbf0" w:themeFill="accent1" w:themeFillTint="40"/>
      </w:tcPr>
    </w:tblStylePr>
    <w:tblStylePr w:type="band1Vert">
      <w:tcPr>
        <w:shd w:val="clear" w:color="cfdbf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2" w:customStyle="1">
    <w:name w:val="List Table 1 Light - Accent 2"/>
    <w:basedOn w:val="1035"/>
    <w:uiPriority w:val="99"/>
    <w:tblPr>
      <w:tblStyleRowBandSize w:val="1"/>
      <w:tblStyleColBandSize w:val="1"/>
    </w:tblPr>
    <w:tblStylePr w:type="band1Horz"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3" w:customStyle="1">
    <w:name w:val="List Table 1 Light - Accent 3"/>
    <w:basedOn w:val="1035"/>
    <w:uiPriority w:val="99"/>
    <w:tblPr>
      <w:tblStyleRowBandSize w:val="1"/>
      <w:tblStyleColBandSize w:val="1"/>
    </w:tblPr>
    <w:tblStylePr w:type="band1Horz"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4" w:customStyle="1">
    <w:name w:val="List Table 1 Light - Accent 4"/>
    <w:basedOn w:val="1035"/>
    <w:uiPriority w:val="99"/>
    <w:tblPr>
      <w:tblStyleRowBandSize w:val="1"/>
      <w:tblStyleColBandSize w:val="1"/>
    </w:tblPr>
    <w:tblStylePr w:type="band1Horz"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5" w:customStyle="1">
    <w:name w:val="List Table 1 Light - Accent 5"/>
    <w:basedOn w:val="1035"/>
    <w:uiPriority w:val="99"/>
    <w:tblPr>
      <w:tblStyleRowBandSize w:val="1"/>
      <w:tblStyleColBandSize w:val="1"/>
    </w:tblPr>
    <w:tblStylePr w:type="band1Horz">
      <w:tcPr>
        <w:shd w:val="clear" w:color="d5e5f4" w:fill="d5e5f4" w:themeFill="accent5" w:themeFillTint="40"/>
      </w:tcPr>
    </w:tblStylePr>
    <w:tblStylePr w:type="band1Vert">
      <w:tcPr>
        <w:shd w:val="clear" w:color="d5e5f4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6" w:customStyle="1">
    <w:name w:val="List Table 1 Light - Accent 6"/>
    <w:basedOn w:val="1035"/>
    <w:uiPriority w:val="99"/>
    <w:tblPr>
      <w:tblStyleRowBandSize w:val="1"/>
      <w:tblStyleColBandSize w:val="1"/>
    </w:tblPr>
    <w:tblStylePr w:type="band1Horz"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7" w:customStyle="1">
    <w:name w:val="Список-таблица 21"/>
    <w:basedOn w:val="1035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styleId="1118" w:customStyle="1">
    <w:name w:val="List Table 2 - Accent 1"/>
    <w:basedOn w:val="1035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cfdbf0" w:fill="cfdbf0" w:themeFill="accent1" w:themeFillTint="40"/>
      </w:tcPr>
    </w:tblStylePr>
    <w:tblStylePr w:type="band1Vert">
      <w:rPr>
        <w:color w:val="404040"/>
        <w:sz w:val="22"/>
      </w:rPr>
      <w:tcPr>
        <w:shd w:val="clear" w:color="cfdbf0" w:fill="cfdbf0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95AFDD" w:themeColor="accent1" w:sz="4" w:space="0"/>
          <w:left w:val="none" w:color="000000" w:sz="4" w:space="0"/>
          <w:bottom w:val="single" w:color="95AFD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95AFDD" w:themeColor="accent1" w:sz="4" w:space="0"/>
          <w:left w:val="none" w:color="000000" w:sz="4" w:space="0"/>
          <w:bottom w:val="single" w:color="95AFDD" w:themeColor="accent1" w:sz="4" w:space="0"/>
          <w:right w:val="none" w:color="000000" w:sz="4" w:space="0"/>
        </w:tcBorders>
      </w:tcPr>
    </w:tblStylePr>
  </w:style>
  <w:style w:type="table" w:styleId="1119" w:customStyle="1">
    <w:name w:val="List Table 2 - Accent 2"/>
    <w:basedOn w:val="1035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adecb" w:fill="fadecb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</w:style>
  <w:style w:type="table" w:styleId="1120" w:customStyle="1">
    <w:name w:val="List Table 2 - Accent 3"/>
    <w:basedOn w:val="1035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e8e8e8" w:fill="e8e8e8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</w:style>
  <w:style w:type="table" w:styleId="1121" w:customStyle="1">
    <w:name w:val="List Table 2 - Accent 4"/>
    <w:basedOn w:val="1035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efbf" w:fill="ffefbf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</w:style>
  <w:style w:type="table" w:styleId="1122" w:customStyle="1">
    <w:name w:val="List Table 2 - Accent 5"/>
    <w:basedOn w:val="1035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5e5f4" w:fill="d5e5f4" w:themeFill="accent5" w:themeFillTint="40"/>
      </w:tcPr>
    </w:tblStylePr>
    <w:tblStylePr w:type="band1Vert">
      <w:rPr>
        <w:color w:val="404040"/>
        <w:sz w:val="22"/>
      </w:rPr>
      <w:tcPr>
        <w:shd w:val="clear" w:color="d5e5f4" w:fill="d5e5f4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A2C6E7" w:themeColor="accent5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A2C6E7" w:themeColor="accent5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</w:style>
  <w:style w:type="table" w:styleId="1123" w:customStyle="1">
    <w:name w:val="List Table 2 - Accent 6"/>
    <w:basedOn w:val="1035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cPr>
        <w:shd w:val="clear" w:color="daebcf" w:fill="daebcf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</w:style>
  <w:style w:type="table" w:styleId="1124" w:customStyle="1">
    <w:name w:val="Список-таблица 31"/>
    <w:basedOn w:val="103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25" w:customStyle="1">
    <w:name w:val="List Table 3 - Accent 1"/>
    <w:basedOn w:val="1035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472c4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26" w:customStyle="1">
    <w:name w:val="List Table 3 - Accent 2"/>
    <w:basedOn w:val="1035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F4B184" w:themeColor="accent2" w:sz="4" w:space="0"/>
          <w:bottom w:val="single" w:color="F4B184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4B184" w:themeColor="accent2" w:sz="4" w:space="0"/>
          <w:right w:val="single" w:color="F4B184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4b184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27" w:customStyle="1">
    <w:name w:val="List Table 3 - Accent 3"/>
    <w:basedOn w:val="1035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C9C9C9" w:themeColor="accent3" w:sz="4" w:space="0"/>
          <w:bottom w:val="single" w:color="C9C9C9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C9C9C9" w:themeColor="accent3" w:sz="4" w:space="0"/>
          <w:right w:val="single" w:color="C9C9C9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9c9c9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28" w:customStyle="1">
    <w:name w:val="List Table 3 - Accent 4"/>
    <w:basedOn w:val="1035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FFD865" w:themeColor="accent4" w:sz="4" w:space="0"/>
          <w:bottom w:val="single" w:color="FFD865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FD865" w:themeColor="accent4" w:sz="4" w:space="0"/>
          <w:right w:val="single" w:color="FFD865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d865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29" w:customStyle="1">
    <w:name w:val="List Table 3 - Accent 5"/>
    <w:basedOn w:val="1035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9BC2E5" w:themeColor="accent5" w:sz="4" w:space="0"/>
          <w:bottom w:val="single" w:color="9BC2E5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9BC2E5" w:themeColor="accent5" w:sz="4" w:space="0"/>
          <w:right w:val="single" w:color="9BC2E5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bc2e5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30" w:customStyle="1">
    <w:name w:val="List Table 3 - Accent 6"/>
    <w:basedOn w:val="1035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A9D08E" w:themeColor="accent6" w:sz="4" w:space="0"/>
          <w:bottom w:val="single" w:color="A9D08E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A9D08E" w:themeColor="accent6" w:sz="4" w:space="0"/>
          <w:right w:val="single" w:color="A9D08E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9d08e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31" w:customStyle="1">
    <w:name w:val="Список-таблица 41"/>
    <w:basedOn w:val="103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32" w:customStyle="1">
    <w:name w:val="List Table 4 - Accent 1"/>
    <w:basedOn w:val="1035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cfdbf0" w:fill="cfdbf0" w:themeFill="accent1" w:themeFillTint="40"/>
      </w:tcPr>
    </w:tblStylePr>
    <w:tblStylePr w:type="band1Vert">
      <w:rPr>
        <w:color w:val="404040"/>
        <w:sz w:val="22"/>
      </w:rPr>
      <w:tcPr>
        <w:shd w:val="clear" w:color="cfdbf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472c4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33" w:customStyle="1">
    <w:name w:val="List Table 4 - Accent 2"/>
    <w:basedOn w:val="1035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adecb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ed7d31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34" w:customStyle="1">
    <w:name w:val="List Table 4 - Accent 3"/>
    <w:basedOn w:val="1035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e8e8e8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35" w:customStyle="1">
    <w:name w:val="List Table 4 - Accent 4"/>
    <w:basedOn w:val="1035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efb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c000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36" w:customStyle="1">
    <w:name w:val="List Table 4 - Accent 5"/>
    <w:basedOn w:val="1035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5e5f4" w:fill="d5e5f4" w:themeFill="accent5" w:themeFillTint="40"/>
      </w:tcPr>
    </w:tblStylePr>
    <w:tblStylePr w:type="band1Vert">
      <w:rPr>
        <w:color w:val="404040"/>
        <w:sz w:val="22"/>
      </w:rPr>
      <w:tcPr>
        <w:shd w:val="clear" w:color="d5e5f4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b9bd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37" w:customStyle="1">
    <w:name w:val="List Table 4 - Accent 6"/>
    <w:basedOn w:val="1035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cPr>
        <w:shd w:val="clear" w:color="daebcf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70ad47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38" w:customStyle="1">
    <w:name w:val="Список-таблица 5 темная1"/>
    <w:basedOn w:val="1035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7F7F7F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139" w:customStyle="1">
    <w:name w:val="List Table 5 Dark - Accent 1"/>
    <w:basedOn w:val="1035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</w:tblPr>
    <w:tblStylePr w:type="band1Horz">
      <w:tcPr>
        <w:shd w:val="clear" w:color="4472c4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4472c4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140" w:customStyle="1">
    <w:name w:val="List Table 5 Dark - Accent 2"/>
    <w:basedOn w:val="1035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band1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4B184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4b184" w:fill="f4b184" w:themeFill="accent2" w:themeFillTint="97"/>
        <w:tcBorders>
          <w:top w:val="single" w:color="F4B184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141" w:customStyle="1">
    <w:name w:val="List Table 5 Dark - Accent 3"/>
    <w:basedOn w:val="1035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band1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9C9C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9c9c9" w:fill="c9c9c9" w:themeFill="accent3" w:themeFillTint="98"/>
        <w:tcBorders>
          <w:top w:val="single" w:color="C9C9C9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142" w:customStyle="1">
    <w:name w:val="List Table 5 Dark - Accent 4"/>
    <w:basedOn w:val="1035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band1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FD865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d865" w:fill="ffd865" w:themeFill="accent4" w:themeFillTint="9A"/>
        <w:tcBorders>
          <w:top w:val="single" w:color="FFD865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143" w:customStyle="1">
    <w:name w:val="List Table 5 Dark - Accent 5"/>
    <w:basedOn w:val="1035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</w:tblPr>
    <w:tblStylePr w:type="band1Horz">
      <w:tcPr>
        <w:shd w:val="clear" w:color="9bc2e5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9BC2E5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9bc2e5" w:fill="9bc2e5" w:themeFill="accent5" w:themeFillTint="9A"/>
        <w:tcBorders>
          <w:top w:val="single" w:color="9BC2E5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144" w:customStyle="1">
    <w:name w:val="List Table 5 Dark - Accent 6"/>
    <w:basedOn w:val="1035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band1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A9D08E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a9d08e" w:fill="a9d08e" w:themeFill="accent6" w:themeFillTint="98"/>
        <w:tcBorders>
          <w:top w:val="single" w:color="A9D08E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145" w:customStyle="1">
    <w:name w:val="Список-таблица 6 цветная1"/>
    <w:basedOn w:val="1035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sz="4" w:space="0"/>
        </w:tcBorders>
      </w:tcPr>
    </w:tblStylePr>
  </w:style>
  <w:style w:type="table" w:styleId="1146" w:customStyle="1">
    <w:name w:val="List Table 6 Colorful - Accent 1"/>
    <w:basedOn w:val="1035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color w:val="254175" w:themeColor="accent1" w:themeShade="95"/>
        <w:sz w:val="22"/>
      </w:rPr>
      <w:tcPr>
        <w:shd w:val="clear" w:color="cfdbf0" w:fill="cfdbf0" w:themeFill="accent1" w:themeFillTint="40"/>
      </w:tcPr>
    </w:tblStylePr>
    <w:tblStylePr w:type="band1Vert"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1147" w:customStyle="1">
    <w:name w:val="List Table 6 Colorful - Accent 2"/>
    <w:basedOn w:val="1035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sz="4" w:space="0"/>
        </w:tcBorders>
      </w:tcPr>
    </w:tblStylePr>
  </w:style>
  <w:style w:type="table" w:styleId="1148" w:customStyle="1">
    <w:name w:val="List Table 6 Colorful - Accent 3"/>
    <w:basedOn w:val="1035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sz="4" w:space="0"/>
        </w:tcBorders>
      </w:tcPr>
    </w:tblStylePr>
  </w:style>
  <w:style w:type="table" w:styleId="1149" w:customStyle="1">
    <w:name w:val="List Table 6 Colorful - Accent 4"/>
    <w:basedOn w:val="1035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sz="4" w:space="0"/>
        </w:tcBorders>
      </w:tcPr>
    </w:tblStylePr>
  </w:style>
  <w:style w:type="table" w:styleId="1150" w:customStyle="1">
    <w:name w:val="List Table 6 Colorful - Accent 5"/>
    <w:basedOn w:val="1035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color w:val="9bc2e5" w:themeColor="accent5" w:themeTint="9A" w:themeShade="95"/>
        <w:sz w:val="22"/>
      </w:rPr>
      <w:tcPr>
        <w:shd w:val="clear" w:color="d5e5f4" w:fill="d5e5f4" w:themeFill="accent5" w:themeFillTint="40"/>
      </w:tcPr>
    </w:tblStylePr>
    <w:tblStylePr w:type="band1Vert"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sz="4" w:space="0"/>
        </w:tcBorders>
      </w:tcPr>
    </w:tblStylePr>
  </w:style>
  <w:style w:type="table" w:styleId="1151" w:customStyle="1">
    <w:name w:val="List Table 6 Colorful - Accent 6"/>
    <w:basedOn w:val="1035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sz="4" w:space="0"/>
        </w:tcBorders>
      </w:tcPr>
    </w:tblStylePr>
  </w:style>
  <w:style w:type="table" w:styleId="1152" w:customStyle="1">
    <w:name w:val="Список-таблица 7 цветная1"/>
    <w:basedOn w:val="1035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7F7F7F" w:themeColor="text1" w:sz="4" w:space="0"/>
          <w:right w:val="none" w:color="000000" w:sz="0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53" w:customStyle="1">
    <w:name w:val="List Table 7 Colorful - Accent 1"/>
    <w:basedOn w:val="1035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color w:val="254175" w:themeColor="accent1" w:themeShade="95"/>
        <w:sz w:val="22"/>
      </w:rPr>
      <w:tcPr>
        <w:shd w:val="clear" w:color="cfdbf0" w:fill="cfdbf0" w:themeFill="accent1" w:themeFillTint="40"/>
      </w:tcPr>
    </w:tblStylePr>
    <w:tblStylePr w:type="band1Vert"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  <w:tblStylePr w:type="firstCol">
      <w:rPr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</w:tcPr>
    </w:tblStylePr>
    <w:tblStylePr w:type="firstRow">
      <w:rPr>
        <w:i/>
        <w:color w:val="254175" w:themeColor="accent1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</w:tcPr>
    </w:tblStylePr>
    <w:tblStylePr w:type="lastCol">
      <w:rPr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254175" w:themeColor="accent1" w:themeShade="95"/>
        <w:sz w:val="22"/>
      </w:rPr>
      <w:tcPr>
        <w:shd w:val="clear" w:color="ffffff" w:fill="ffffff" w:themeFill="light1"/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54" w:customStyle="1">
    <w:name w:val="List Table 7 Colorful - Accent 2"/>
    <w:basedOn w:val="1035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sz="4" w:space="0"/>
        </w:tcBorders>
      </w:tcPr>
    </w:tblStylePr>
    <w:tblStylePr w:type="fir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sz="4" w:space="0"/>
          <w:right w:val="none" w:color="000000" w:sz="0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F4B184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55" w:customStyle="1">
    <w:name w:val="List Table 7 Colorful - Accent 3"/>
    <w:basedOn w:val="1035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sz="4" w:space="0"/>
        </w:tcBorders>
      </w:tcPr>
    </w:tblStylePr>
    <w:tblStylePr w:type="fir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sz="4" w:space="0"/>
          <w:right w:val="none" w:color="000000" w:sz="0" w:space="0"/>
        </w:tcBorders>
      </w:tcPr>
    </w:tblStylePr>
    <w:tblStylePr w:type="lastCol">
      <w:rPr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single" w:color="C9C9C9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56" w:customStyle="1">
    <w:name w:val="List Table 7 Colorful - Accent 4"/>
    <w:basedOn w:val="1035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sz="4" w:space="0"/>
        </w:tcBorders>
      </w:tcPr>
    </w:tblStylePr>
    <w:tblStylePr w:type="fir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sz="4" w:space="0"/>
          <w:right w:val="none" w:color="000000" w:sz="0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D865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57" w:customStyle="1">
    <w:name w:val="List Table 7 Colorful - Accent 5"/>
    <w:basedOn w:val="1035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color w:val="9bc2e5" w:themeColor="accent5" w:themeTint="9A" w:themeShade="95"/>
        <w:sz w:val="22"/>
      </w:rPr>
      <w:tcPr>
        <w:shd w:val="clear" w:color="d5e5f4" w:fill="d5e5f4" w:themeFill="accent5" w:themeFillTint="40"/>
      </w:tcPr>
    </w:tblStylePr>
    <w:tblStylePr w:type="band1Vert"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  <w:tblStylePr w:type="firstCol">
      <w:rPr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C2E5" w:themeColor="accent5" w:sz="4" w:space="0"/>
        </w:tcBorders>
      </w:tcPr>
    </w:tblStylePr>
    <w:tblStylePr w:type="firstRow">
      <w:rPr>
        <w:i/>
        <w:color w:val="9bc2e5" w:themeColor="accent5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9BC2E5" w:themeColor="accent5" w:sz="4" w:space="0"/>
          <w:right w:val="none" w:color="000000" w:sz="0" w:space="0"/>
        </w:tcBorders>
      </w:tcPr>
    </w:tblStylePr>
    <w:tblStylePr w:type="lastCol">
      <w:rPr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BC2E5" w:themeColor="accent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9bc2e5" w:themeColor="accent5" w:themeTint="9A" w:themeShade="95"/>
        <w:sz w:val="22"/>
      </w:rPr>
      <w:tcPr>
        <w:shd w:val="clear" w:color="ffffff" w:fill="ffffff" w:themeFill="light1"/>
        <w:tcBorders>
          <w:top w:val="single" w:color="9BC2E5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58" w:customStyle="1">
    <w:name w:val="List Table 7 Colorful - Accent 6"/>
    <w:basedOn w:val="1035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sz="4" w:space="0"/>
        </w:tcBorders>
      </w:tcPr>
    </w:tblStylePr>
    <w:tblStylePr w:type="fir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sz="4" w:space="0"/>
          <w:right w:val="none" w:color="000000" w:sz="0" w:space="0"/>
        </w:tcBorders>
      </w:tcPr>
    </w:tblStylePr>
    <w:tblStylePr w:type="lastCol">
      <w:rPr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single" w:color="A9D08E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59" w:customStyle="1">
    <w:name w:val="Lined - Accent"/>
    <w:basedOn w:val="1035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1160" w:customStyle="1">
    <w:name w:val="Lined - Accent 1"/>
    <w:basedOn w:val="1035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4d2ec" w:fill="c4d2ec" w:themeFill="accent1" w:themeFillTint="50"/>
      </w:tcPr>
    </w:tblStylePr>
    <w:tblStylePr w:type="band2Vert">
      <w:rPr>
        <w:color w:val="404040"/>
        <w:sz w:val="22"/>
      </w:rPr>
      <w:tcPr>
        <w:shd w:val="clear" w:color="c4d2ec" w:fill="c4d2ec" w:themeFill="accent1" w:themeFillTint="50"/>
      </w:tcPr>
    </w:tblStylePr>
    <w:tblStylePr w:type="firstCol">
      <w:rPr>
        <w:color w:val="f2f2f2"/>
        <w:sz w:val="22"/>
      </w:rPr>
      <w:tcPr>
        <w:shd w:val="clear" w:color="537dc8" w:fill="537dc8" w:themeFill="accent1" w:themeFillTint="EA"/>
      </w:tcPr>
    </w:tblStylePr>
    <w:tblStylePr w:type="firstRow">
      <w:rPr>
        <w:color w:val="f2f2f2"/>
        <w:sz w:val="22"/>
      </w:rPr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cPr>
        <w:shd w:val="clear" w:color="537dc8" w:fill="537dc8" w:themeFill="accent1" w:themeFillTint="EA"/>
      </w:tcPr>
    </w:tblStylePr>
  </w:style>
  <w:style w:type="table" w:styleId="1161" w:customStyle="1">
    <w:name w:val="Lined - Accent 2"/>
    <w:basedOn w:val="1035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cPr>
        <w:shd w:val="clear" w:color="f4b184" w:fill="f4b184" w:themeFill="accent2" w:themeFillTint="97"/>
      </w:tcPr>
    </w:tblStylePr>
  </w:style>
  <w:style w:type="table" w:styleId="1162" w:customStyle="1">
    <w:name w:val="Lined - Accent 3"/>
    <w:basedOn w:val="1035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cPr>
        <w:shd w:val="clear" w:color="a5a5a5" w:fill="a5a5a5" w:themeFill="accent3" w:themeFillTint="FE"/>
      </w:tcPr>
    </w:tblStylePr>
  </w:style>
  <w:style w:type="table" w:styleId="1163" w:customStyle="1">
    <w:name w:val="Lined - Accent 4"/>
    <w:basedOn w:val="1035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cPr>
        <w:shd w:val="clear" w:color="ffd865" w:fill="ffd865" w:themeFill="accent4" w:themeFillTint="9A"/>
      </w:tcPr>
    </w:tblStylePr>
  </w:style>
  <w:style w:type="table" w:styleId="1164" w:customStyle="1">
    <w:name w:val="Lined - Accent 5"/>
    <w:basedOn w:val="1035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deaf6" w:fill="ddeaf6" w:themeFill="accent5" w:themeFillTint="34"/>
      </w:tcPr>
    </w:tblStylePr>
    <w:tblStylePr w:type="band2Vert">
      <w:rPr>
        <w:color w:val="404040"/>
        <w:sz w:val="22"/>
      </w:rPr>
      <w:tcPr>
        <w:shd w:val="clear" w:color="ddeaf6" w:fill="ddeaf6" w:themeFill="accent5" w:themeFillTint="34"/>
      </w:tcPr>
    </w:tblStylePr>
    <w:tblStylePr w:type="firstCol">
      <w:rPr>
        <w:color w:val="f2f2f2"/>
        <w:sz w:val="22"/>
      </w:rPr>
      <w:tcPr>
        <w:shd w:val="clear" w:color="5b9bd5" w:fill="5b9bd5" w:themeFill="accent5"/>
      </w:tcPr>
    </w:tblStylePr>
    <w:tblStylePr w:type="firstRow">
      <w:rPr>
        <w:color w:val="f2f2f2"/>
        <w:sz w:val="22"/>
      </w:rPr>
      <w:tcPr>
        <w:shd w:val="clear" w:color="5b9bd5" w:fill="5b9bd5" w:themeFill="accent5"/>
      </w:tcPr>
    </w:tblStylePr>
    <w:tblStylePr w:type="lastCol">
      <w:rPr>
        <w:color w:val="f2f2f2"/>
        <w:sz w:val="22"/>
      </w:rPr>
      <w:tcPr>
        <w:shd w:val="clear" w:color="5b9bd5" w:fill="5b9bd5" w:themeFill="accent5"/>
      </w:tcPr>
    </w:tblStylePr>
    <w:tblStylePr w:type="lastRow">
      <w:rPr>
        <w:color w:val="f2f2f2"/>
        <w:sz w:val="22"/>
      </w:rPr>
      <w:tcPr>
        <w:shd w:val="clear" w:color="5b9bd5" w:fill="5b9bd5" w:themeFill="accent5"/>
      </w:tcPr>
    </w:tblStylePr>
  </w:style>
  <w:style w:type="table" w:styleId="1165" w:customStyle="1">
    <w:name w:val="Lined - Accent 6"/>
    <w:basedOn w:val="1035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cPr>
        <w:shd w:val="clear" w:color="70ad47" w:fill="70ad47" w:themeFill="accent6"/>
      </w:tcPr>
    </w:tblStylePr>
    <w:tblStylePr w:type="firstRow">
      <w:rPr>
        <w:color w:val="f2f2f2"/>
        <w:sz w:val="22"/>
      </w:rPr>
      <w:tcPr>
        <w:shd w:val="clear" w:color="70ad47" w:fill="70ad47" w:themeFill="accent6"/>
      </w:tcPr>
    </w:tblStylePr>
    <w:tblStylePr w:type="lastCol">
      <w:rPr>
        <w:color w:val="f2f2f2"/>
        <w:sz w:val="22"/>
      </w:rPr>
      <w:tcPr>
        <w:shd w:val="clear" w:color="70ad47" w:fill="70ad47" w:themeFill="accent6"/>
      </w:tcPr>
    </w:tblStylePr>
    <w:tblStylePr w:type="lastRow">
      <w:rPr>
        <w:color w:val="f2f2f2"/>
        <w:sz w:val="22"/>
      </w:rPr>
      <w:tcPr>
        <w:shd w:val="clear" w:color="70ad47" w:fill="70ad47" w:themeFill="accent6"/>
      </w:tcPr>
    </w:tblStylePr>
  </w:style>
  <w:style w:type="table" w:styleId="1166" w:customStyle="1">
    <w:name w:val="Bordered &amp; Lined - Accent"/>
    <w:basedOn w:val="1035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1167" w:customStyle="1">
    <w:name w:val="Bordered &amp; Lined - Accent 1"/>
    <w:basedOn w:val="1035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sz="4" w:space="0"/>
        <w:left w:val="single" w:color="254175" w:themeColor="accent1" w:sz="4" w:space="0"/>
        <w:bottom w:val="single" w:color="254175" w:themeColor="accent1" w:sz="4" w:space="0"/>
        <w:right w:val="single" w:color="254175" w:themeColor="accent1" w:sz="4" w:space="0"/>
        <w:insideH w:val="single" w:color="254175" w:themeColor="accent1" w:sz="4" w:space="0"/>
        <w:insideV w:val="single" w:color="254175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4d2ec" w:fill="c4d2ec" w:themeFill="accent1" w:themeFillTint="50"/>
      </w:tcPr>
    </w:tblStylePr>
    <w:tblStylePr w:type="band2Vert">
      <w:rPr>
        <w:color w:val="404040"/>
        <w:sz w:val="22"/>
      </w:rPr>
      <w:tcPr>
        <w:shd w:val="clear" w:color="c4d2ec" w:fill="c4d2ec" w:themeFill="accent1" w:themeFillTint="50"/>
      </w:tcPr>
    </w:tblStylePr>
    <w:tblStylePr w:type="firstCol">
      <w:rPr>
        <w:color w:val="f2f2f2"/>
        <w:sz w:val="22"/>
      </w:rPr>
      <w:tcPr>
        <w:shd w:val="clear" w:color="537dc8" w:fill="537dc8" w:themeFill="accent1" w:themeFillTint="EA"/>
      </w:tcPr>
    </w:tblStylePr>
    <w:tblStylePr w:type="firstRow">
      <w:rPr>
        <w:color w:val="f2f2f2"/>
        <w:sz w:val="22"/>
      </w:rPr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cPr>
        <w:shd w:val="clear" w:color="537dc8" w:fill="537dc8" w:themeFill="accent1" w:themeFillTint="EA"/>
      </w:tcPr>
    </w:tblStylePr>
  </w:style>
  <w:style w:type="table" w:styleId="1168" w:customStyle="1">
    <w:name w:val="Bordered &amp; Lined - Accent 2"/>
    <w:basedOn w:val="1035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cPr>
        <w:shd w:val="clear" w:color="f4b184" w:fill="f4b184" w:themeFill="accent2" w:themeFillTint="97"/>
      </w:tcPr>
    </w:tblStylePr>
  </w:style>
  <w:style w:type="table" w:styleId="1169" w:customStyle="1">
    <w:name w:val="Bordered &amp; Lined - Accent 3"/>
    <w:basedOn w:val="1035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cPr>
        <w:shd w:val="clear" w:color="a5a5a5" w:fill="a5a5a5" w:themeFill="accent3" w:themeFillTint="FE"/>
      </w:tcPr>
    </w:tblStylePr>
  </w:style>
  <w:style w:type="table" w:styleId="1170" w:customStyle="1">
    <w:name w:val="Bordered &amp; Lined - Accent 4"/>
    <w:basedOn w:val="1035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cPr>
        <w:shd w:val="clear" w:color="ffd865" w:fill="ffd865" w:themeFill="accent4" w:themeFillTint="9A"/>
      </w:tcPr>
    </w:tblStylePr>
  </w:style>
  <w:style w:type="table" w:styleId="1171" w:customStyle="1">
    <w:name w:val="Bordered &amp; Lined - Accent 5"/>
    <w:basedOn w:val="1035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sz="4" w:space="0"/>
        <w:left w:val="single" w:color="245A8D" w:themeColor="accent5" w:sz="4" w:space="0"/>
        <w:bottom w:val="single" w:color="245A8D" w:themeColor="accent5" w:sz="4" w:space="0"/>
        <w:right w:val="single" w:color="245A8D" w:themeColor="accent5" w:sz="4" w:space="0"/>
        <w:insideH w:val="single" w:color="245A8D" w:themeColor="accent5" w:sz="4" w:space="0"/>
        <w:insideV w:val="single" w:color="245A8D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deaf6" w:fill="ddeaf6" w:themeFill="accent5" w:themeFillTint="34"/>
      </w:tcPr>
    </w:tblStylePr>
    <w:tblStylePr w:type="band2Vert">
      <w:rPr>
        <w:color w:val="404040"/>
        <w:sz w:val="22"/>
      </w:rPr>
      <w:tcPr>
        <w:shd w:val="clear" w:color="ddeaf6" w:fill="ddeaf6" w:themeFill="accent5" w:themeFillTint="34"/>
      </w:tcPr>
    </w:tblStylePr>
    <w:tblStylePr w:type="firstCol">
      <w:rPr>
        <w:color w:val="f2f2f2"/>
        <w:sz w:val="22"/>
      </w:rPr>
      <w:tcPr>
        <w:shd w:val="clear" w:color="5b9bd5" w:fill="5b9bd5" w:themeFill="accent5"/>
      </w:tcPr>
    </w:tblStylePr>
    <w:tblStylePr w:type="firstRow">
      <w:rPr>
        <w:color w:val="f2f2f2"/>
        <w:sz w:val="22"/>
      </w:rPr>
      <w:tcPr>
        <w:shd w:val="clear" w:color="5b9bd5" w:fill="5b9bd5" w:themeFill="accent5"/>
      </w:tcPr>
    </w:tblStylePr>
    <w:tblStylePr w:type="lastCol">
      <w:rPr>
        <w:color w:val="f2f2f2"/>
        <w:sz w:val="22"/>
      </w:rPr>
      <w:tcPr>
        <w:shd w:val="clear" w:color="5b9bd5" w:fill="5b9bd5" w:themeFill="accent5"/>
      </w:tcPr>
    </w:tblStylePr>
    <w:tblStylePr w:type="lastRow">
      <w:rPr>
        <w:color w:val="f2f2f2"/>
        <w:sz w:val="22"/>
      </w:rPr>
      <w:tcPr>
        <w:shd w:val="clear" w:color="5b9bd5" w:fill="5b9bd5" w:themeFill="accent5"/>
      </w:tcPr>
    </w:tblStylePr>
  </w:style>
  <w:style w:type="table" w:styleId="1172" w:customStyle="1">
    <w:name w:val="Bordered &amp; Lined - Accent 6"/>
    <w:basedOn w:val="1035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cPr>
        <w:shd w:val="clear" w:color="70ad47" w:fill="70ad47" w:themeFill="accent6"/>
      </w:tcPr>
    </w:tblStylePr>
    <w:tblStylePr w:type="firstRow">
      <w:rPr>
        <w:color w:val="f2f2f2"/>
        <w:sz w:val="22"/>
      </w:rPr>
      <w:tcPr>
        <w:shd w:val="clear" w:color="70ad47" w:fill="70ad47" w:themeFill="accent6"/>
      </w:tcPr>
    </w:tblStylePr>
    <w:tblStylePr w:type="lastCol">
      <w:rPr>
        <w:color w:val="f2f2f2"/>
        <w:sz w:val="22"/>
      </w:rPr>
      <w:tcPr>
        <w:shd w:val="clear" w:color="70ad47" w:fill="70ad47" w:themeFill="accent6"/>
      </w:tcPr>
    </w:tblStylePr>
    <w:tblStylePr w:type="lastRow">
      <w:rPr>
        <w:color w:val="f2f2f2"/>
        <w:sz w:val="22"/>
      </w:rPr>
      <w:tcPr>
        <w:shd w:val="clear" w:color="70ad47" w:fill="70ad47" w:themeFill="accent6"/>
      </w:tcPr>
    </w:tblStylePr>
  </w:style>
  <w:style w:type="table" w:styleId="1173" w:customStyle="1">
    <w:name w:val="Bordered"/>
    <w:basedOn w:val="1035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7F7F7F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7F7F7F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7F7F7F" w:themeColor="text1" w:sz="12" w:space="0"/>
        </w:tcBorders>
      </w:tcPr>
    </w:tblStylePr>
  </w:style>
  <w:style w:type="table" w:styleId="1174" w:customStyle="1">
    <w:name w:val="Bordered - Accent 1"/>
    <w:basedOn w:val="1035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3C5E7" w:themeColor="accent1" w:sz="4" w:space="0"/>
          <w:left w:val="single" w:color="B3C5E7" w:themeColor="accent1" w:sz="4" w:space="0"/>
          <w:bottom w:val="single" w:color="B3C5E7" w:themeColor="accent1" w:sz="4" w:space="0"/>
          <w:right w:val="single" w:color="B3C5E7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1175" w:customStyle="1">
    <w:name w:val="Bordered - Accent 2"/>
    <w:basedOn w:val="1035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4B184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4B184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4B184" w:themeColor="accent2" w:sz="12" w:space="0"/>
        </w:tcBorders>
      </w:tcPr>
    </w:tblStylePr>
  </w:style>
  <w:style w:type="table" w:styleId="1176" w:customStyle="1">
    <w:name w:val="Bordered - Accent 3"/>
    <w:basedOn w:val="1035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C9C9C9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C9C9C9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C9C9C9" w:themeColor="accent3" w:sz="12" w:space="0"/>
        </w:tcBorders>
      </w:tcPr>
    </w:tblStylePr>
  </w:style>
  <w:style w:type="table" w:styleId="1177" w:customStyle="1">
    <w:name w:val="Bordered - Accent 4"/>
    <w:basedOn w:val="1035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FD865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FD865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FD865" w:themeColor="accent4" w:sz="12" w:space="0"/>
        </w:tcBorders>
      </w:tcPr>
    </w:tblStylePr>
  </w:style>
  <w:style w:type="table" w:styleId="1178" w:customStyle="1">
    <w:name w:val="Bordered - Accent 5"/>
    <w:basedOn w:val="1035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CD6EE" w:themeColor="accent5" w:sz="4" w:space="0"/>
          <w:left w:val="single" w:color="BCD6EE" w:themeColor="accent5" w:sz="4" w:space="0"/>
          <w:bottom w:val="single" w:color="BCD6EE" w:themeColor="accent5" w:sz="4" w:space="0"/>
          <w:right w:val="single" w:color="BCD6EE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9BC2E5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9BC2E5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9BC2E5" w:themeColor="accent5" w:sz="12" w:space="0"/>
        </w:tcBorders>
      </w:tcPr>
    </w:tblStylePr>
  </w:style>
  <w:style w:type="table" w:styleId="1179" w:customStyle="1">
    <w:name w:val="Bordered - Accent 6"/>
    <w:basedOn w:val="1035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A9D08E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A9D08E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A9D08E" w:themeColor="accent6" w:sz="12" w:space="0"/>
        </w:tcBorders>
      </w:tcPr>
    </w:tblStylePr>
  </w:style>
  <w:style w:type="table" w:styleId="1180">
    <w:name w:val="Table Grid"/>
    <w:basedOn w:val="1035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81" w:customStyle="1">
    <w:name w:val="Сетка таблицы1"/>
    <w:basedOn w:val="1035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header" Target="header7.xml" /><Relationship Id="rId16" Type="http://schemas.openxmlformats.org/officeDocument/2006/relationships/footer" Target="footer1.xml" /><Relationship Id="rId17" Type="http://schemas.openxmlformats.org/officeDocument/2006/relationships/footer" Target="footer2.xml" /><Relationship Id="rId18" Type="http://schemas.openxmlformats.org/officeDocument/2006/relationships/footer" Target="footer3.xml" /><Relationship Id="rId19" Type="http://schemas.openxmlformats.org/officeDocument/2006/relationships/footer" Target="footer4.xml" /><Relationship Id="rId20" Type="http://schemas.openxmlformats.org/officeDocument/2006/relationships/footer" Target="footer5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_rels/header7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dc:language>ru-RU</dc:language>
  <cp:lastModifiedBy>lutfullina_ee</cp:lastModifiedBy>
  <cp:revision>41</cp:revision>
  <dcterms:created xsi:type="dcterms:W3CDTF">2025-01-29T04:20:00Z</dcterms:created>
  <dcterms:modified xsi:type="dcterms:W3CDTF">2026-03-12T00:46:05Z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